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Achieving</w:t>
      </w:r>
      <w:r>
        <w:t xml:space="preserve"> </w:t>
      </w:r>
      <w:r>
        <w:t xml:space="preserve">True</w:t>
      </w:r>
      <w:r>
        <w:t xml:space="preserve"> </w:t>
      </w:r>
      <w:r>
        <w:t xml:space="preserve">Liberation</w:t>
      </w:r>
    </w:p>
    <w:p>
      <w:pPr>
        <w:pStyle w:val="Subtitle"/>
      </w:pPr>
      <w:r>
        <w:t xml:space="preserve">An</w:t>
      </w:r>
      <w:r>
        <w:t xml:space="preserve"> </w:t>
      </w:r>
      <w:r>
        <w:t xml:space="preserve">Exploration</w:t>
      </w:r>
      <w:r>
        <w:t xml:space="preserve"> </w:t>
      </w:r>
      <w:r>
        <w:t xml:space="preserve">of</w:t>
      </w:r>
      <w:r>
        <w:t xml:space="preserve"> </w:t>
      </w:r>
      <w:r>
        <w:t xml:space="preserve">the</w:t>
      </w:r>
      <w:r>
        <w:t xml:space="preserve"> </w:t>
      </w:r>
      <w:r>
        <w:t xml:space="preserve">Kitab-i-Aqdas</w:t>
      </w:r>
    </w:p>
    <w:p>
      <w:pPr>
        <w:pStyle w:val="Author"/>
      </w:pPr>
      <w:r>
        <w:t xml:space="preserve">Joshua</w:t>
      </w:r>
      <w:r>
        <w:t xml:space="preserve"> </w:t>
      </w:r>
      <w:r>
        <w:t xml:space="preserve">W.</w:t>
      </w:r>
      <w:r>
        <w:t xml:space="preserve"> </w:t>
      </w:r>
      <w:r>
        <w:t xml:space="preserve">Adams</w:t>
      </w:r>
    </w:p>
    <w:p>
      <w:pPr>
        <w:pStyle w:val="Date"/>
      </w:pPr>
      <w:r>
        <w:t xml:space="preserve">2026-03-09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"1-1" \h \z \u</w:instrText>
            <w:fldChar w:fldCharType="separate"/>
            <w:fldChar w:fldCharType="end"/>
          </w:r>
        </w:p>
      </w:sdtContent>
    </w:sdt>
    <w:bookmarkStart w:id="20" w:name="in-gratitude"/>
    <w:p>
      <w:pPr>
        <w:pStyle w:val="Heading1"/>
      </w:pPr>
      <w:r>
        <w:t xml:space="preserve">In Gratitude</w:t>
      </w:r>
    </w:p>
    <w:p>
      <w:pPr>
        <w:pStyle w:val="FirstParagraph"/>
      </w:pPr>
      <w:r>
        <w:t xml:space="preserve">This book was inspired by the many who challenged and supported me through the years. I am deeply grateful to family, friends, and spiritual kin. Without them, this book would mean nothing to me.</w:t>
      </w:r>
    </w:p>
    <w:p>
      <w:pPr>
        <w:pStyle w:val="BodyText"/>
      </w:pPr>
      <w:r>
        <w:t xml:space="preserve">Most of all, I want to thank God for allowing me the opportunity to read His words, collaborate with diverse perspectives, and write the following pages.</w:t>
      </w:r>
    </w:p>
    <w:p>
      <w:pPr>
        <w:pStyle w:val="BodyText"/>
      </w:pPr>
      <w:r>
        <w:t xml:space="preserve">From the very depths of myself…</w:t>
      </w:r>
    </w:p>
    <w:p>
      <w:pPr>
        <w:pStyle w:val="BodyText"/>
      </w:pPr>
      <w:r>
        <w:t xml:space="preserve">Thank you!</w:t>
      </w:r>
    </w:p>
    <w:bookmarkEnd w:id="20"/>
    <w:bookmarkStart w:id="21" w:name="sec-introduction"/>
    <w:p>
      <w:pPr>
        <w:pStyle w:val="Heading1"/>
      </w:pPr>
      <w:r>
        <w:t xml:space="preserve">Introduction</w:t>
      </w:r>
    </w:p>
    <w:p>
      <w:pPr>
        <w:pStyle w:val="FirstParagraph"/>
      </w:pPr>
      <w:r>
        <w:t xml:space="preserve">Praise be to God, the Creator of and Source of all inspiration, knowledge, and wisdom!</w:t>
      </w:r>
    </w:p>
    <w:p>
      <w:pPr>
        <w:pStyle w:val="BodyText"/>
      </w:pPr>
      <w:r>
        <w:t xml:space="preserve">Allah’u’abha!</w:t>
      </w:r>
    </w:p>
    <w:p>
      <w:pPr>
        <w:pStyle w:val="BodyText"/>
      </w:pPr>
      <w:r>
        <w:t xml:space="preserve">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pPr>
        <w:pStyle w:val="BodyText"/>
      </w:pPr>
      <w:r>
        <w:t xml:space="preserve">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pPr>
        <w:pStyle w:val="BodyText"/>
      </w:pPr>
      <w:r>
        <w:t xml:space="preserve">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pPr>
        <w:pStyle w:val="BodyText"/>
      </w:pPr>
      <w:r>
        <w:t xml:space="preserve">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pPr>
        <w:pStyle w:val="BodyText"/>
      </w:pPr>
      <w:r>
        <w:t xml:space="preserve">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pPr>
        <w:pStyle w:val="BodyText"/>
      </w:pPr>
      <w:r>
        <w:t xml:space="preserve">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pPr>
        <w:pStyle w:val="BodyText"/>
      </w:pPr>
      <w:r>
        <w:t xml:space="preserve">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pPr>
        <w:pStyle w:val="BodyText"/>
      </w:pPr>
      <w:r>
        <w:t xml:space="preserve">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pPr>
        <w:pStyle w:val="BodyText"/>
      </w:pPr>
      <w:r>
        <w:t xml:space="preserve">Whether you currently believe in Bahá’u’lláh or not, I feel the Kitáb-i-Aqdas has something to offer for everyone. Liberation is for everyone, to include you and your loved ones. I am grateful you have given this book a chance to be read. Thank you!</w:t>
      </w:r>
    </w:p>
    <w:p>
      <w:r>
        <w:br w:type="page"/>
      </w:r>
    </w:p>
    <w:bookmarkEnd w:id="21"/>
    <w:bookmarkStart w:id="62" w:name="belief-in-god"/>
    <w:p>
      <w:pPr>
        <w:pStyle w:val="Heading1"/>
      </w:pPr>
      <w:r>
        <w:t xml:space="preserve">1. Belief in God</w:t>
      </w:r>
    </w:p>
    <w:bookmarkStart w:id="22" w:name="chapter-introduction"/>
    <w:p>
      <w:pPr>
        <w:pStyle w:val="Heading2"/>
      </w:pPr>
      <w:r>
        <w:t xml:space="preserve">1.1 Chapter Introduction</w:t>
      </w:r>
    </w:p>
    <w:p>
      <w:pPr>
        <w:pStyle w:val="FirstParagraph"/>
      </w:pPr>
      <w:r>
        <w:t xml:space="preserve">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bookmarkEnd w:id="22"/>
    <w:bookmarkStart w:id="49" w:name="groups-of-names-and-attributes"/>
    <w:p>
      <w:pPr>
        <w:pStyle w:val="Heading2"/>
      </w:pPr>
      <w:r>
        <w:t xml:space="preserve">1.2 19 Groups of Names and Attributes</w:t>
      </w:r>
    </w:p>
    <w:bookmarkStart w:id="23" w:name="subtlety-2"/>
    <w:p>
      <w:pPr>
        <w:pStyle w:val="Heading3"/>
      </w:pPr>
      <w:r>
        <w:t xml:space="preserve">1.2.1 Subtlety (2)</w:t>
      </w:r>
    </w:p>
    <w:p>
      <w:pPr>
        <w:pStyle w:val="FirstParagraph"/>
      </w:pPr>
      <w:r>
        <w:t xml:space="preserve">Subtlety is the quality of being difficult to analyze or even detect. When combined with the name Inaccessible, we can start to imagine God’s mysterious and hidden nature. God may seem unable to be directly observed, or, to some, lacking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pPr>
        <w:pStyle w:val="BodyText"/>
      </w:pPr>
      <w:r>
        <w:t xml:space="preserve">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forms a divine tapestry whose threads are interwoven in truth and in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pPr>
        <w:pStyle w:val="BodyText"/>
      </w:pPr>
      <w:r>
        <w:t xml:space="preserve">The next 18 groups include the quality of Subtlety.</w:t>
      </w:r>
    </w:p>
    <w:bookmarkEnd w:id="23"/>
    <w:bookmarkStart w:id="24" w:name="manifestation-2"/>
    <w:p>
      <w:pPr>
        <w:pStyle w:val="Heading3"/>
      </w:pPr>
      <w:r>
        <w:t xml:space="preserve">1.2.2 Manifestation (2)</w:t>
      </w:r>
    </w:p>
    <w:p>
      <w:pPr>
        <w:pStyle w:val="FirstParagraph"/>
      </w:pPr>
      <w:r>
        <w:t xml:space="preserve">One way God assists the seeker is by manifesting signs that hint at His presence. The purpose is to make the inaccessible more accessible, even if it is not direct access to God’s entirety. These signs might not be obvious like a stop sign, but could be more like being nearsighted as you approach a highway sign pointing to multiple paths. It may be something not immediately clear, or if you are looking in a different direction, it may be something you do not observe. Signs are full of subtlety.</w:t>
      </w:r>
    </w:p>
    <w:p>
      <w:pPr>
        <w:pStyle w:val="BodyText"/>
      </w:pPr>
      <w:r>
        <w:t xml:space="preserve">These signs could come from the natural world and the laws of creation in which we are a part.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pPr>
        <w:pStyle w:val="BodyText"/>
      </w:pPr>
      <w:r>
        <w:t xml:space="preserve">God can be made Manifest in different forms, including through humanity. A human Manifestation of God is a reflection and embodiment of God Himself. This subject will go into deeper detail regarding Manifestations of God in Chapter 6,</w:t>
      </w:r>
      <w:r>
        <w:t xml:space="preserve"> </w:t>
      </w:r>
      <w:r>
        <w:t xml:space="preserve">“</w:t>
      </w:r>
      <w:r>
        <w:t xml:space="preserve">Belief in the Manifestation of God.</w:t>
      </w:r>
      <w:r>
        <w:t xml:space="preserve">”</w:t>
      </w:r>
    </w:p>
    <w:p>
      <w:pPr>
        <w:pStyle w:val="BodyText"/>
      </w:pPr>
      <w:r>
        <w:t xml:space="preserve">The next 17 groups include the quality of Manifestation.</w:t>
      </w:r>
    </w:p>
    <w:bookmarkEnd w:id="24"/>
    <w:bookmarkStart w:id="25" w:name="knowledge-46"/>
    <w:p>
      <w:pPr>
        <w:pStyle w:val="Heading3"/>
      </w:pPr>
      <w:r>
        <w:t xml:space="preserve">1.2.3 Knowledge (46)</w:t>
      </w:r>
    </w:p>
    <w:p>
      <w:pPr>
        <w:pStyle w:val="FirstParagraph"/>
      </w:pPr>
      <w:r>
        <w:t xml:space="preserve">The Kitáb-i-Aqdas uses names such as All-Knowing, All-Informed, Wise, and the Knower of All Things frequently. These words convey God’s own infinite knowledge, a knowledge that, when manifested, is full of Subtlety. Sometimes that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that God possesses all knowledge.</w:t>
      </w:r>
    </w:p>
    <w:p>
      <w:pPr>
        <w:pStyle w:val="BodyText"/>
      </w:pPr>
      <w:r>
        <w:t xml:space="preserve">Sometimes this knowledge is viewed as a knowledge of all facts. This could be knowledge of what is within our hearts. It could be knowledge of all possible outcomes. This could be knowledge of all which has been manifested. This could be knowledge of all which could be manifested. This knowledge is derived from the Manifestations of the Signs.</w:t>
      </w:r>
    </w:p>
    <w:p>
      <w:pPr>
        <w:pStyle w:val="BodyText"/>
      </w:pPr>
      <w:r>
        <w:t xml:space="preserve">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pPr>
        <w:pStyle w:val="BodyText"/>
      </w:pPr>
      <w:r>
        <w:t xml:space="preserve">The next 16 groups include the quality of Knowledge.</w:t>
      </w:r>
    </w:p>
    <w:bookmarkEnd w:id="25"/>
    <w:bookmarkStart w:id="27" w:name="creation-6"/>
    <w:p>
      <w:pPr>
        <w:pStyle w:val="Heading3"/>
      </w:pPr>
      <w:r>
        <w:t xml:space="preserve">1.2.4 Creation (6)</w:t>
      </w:r>
    </w:p>
    <w:p>
      <w:pPr>
        <w:pStyle w:val="FirstParagraph"/>
      </w:pPr>
      <w:r>
        <w:t xml:space="preserve">God’s names include the Dawning Place of Signs and the Creator of the Earth and Heavens. Creation is manifested through God’s Knowledge. God’s role as Creator begins to become evident, showing how His knowledge shapes and sustains the universe.</w:t>
      </w:r>
      <w:r>
        <w:t xml:space="preserve"> </w:t>
      </w:r>
      <w:r>
        <w:t xml:space="preserve">“</w:t>
      </w:r>
      <w:r>
        <w:t xml:space="preserve">Every beginning is from God and unto Him it returns. He is indeed the source of creation and the ultimate destination of all the worlds.</w:t>
      </w:r>
      <w:r>
        <w:t xml:space="preserve">”</w:t>
      </w:r>
      <w:r>
        <w:rPr>
          <w:rStyle w:val="FootnoteReference"/>
        </w:rPr>
        <w:footnoteReference w:id="26"/>
      </w:r>
    </w:p>
    <w:p>
      <w:pPr>
        <w:pStyle w:val="BodyText"/>
      </w:pPr>
      <w:r>
        <w:t xml:space="preserve">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pPr>
        <w:pStyle w:val="BodyText"/>
      </w:pPr>
      <w:r>
        <w:t xml:space="preserve">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pPr>
        <w:pStyle w:val="BodyText"/>
      </w:pPr>
      <w:r>
        <w:t xml:space="preserve">The next 15 groups include the quality of Creation.</w:t>
      </w:r>
    </w:p>
    <w:bookmarkEnd w:id="27"/>
    <w:bookmarkStart w:id="29" w:name="power-36"/>
    <w:p>
      <w:pPr>
        <w:pStyle w:val="Heading3"/>
      </w:pPr>
      <w:r>
        <w:t xml:space="preserve">1.2.5 Power (36)</w:t>
      </w:r>
    </w:p>
    <w:p>
      <w:pPr>
        <w:pStyle w:val="FirstParagraph"/>
      </w:pPr>
      <w:r>
        <w:t xml:space="preserve">The Power group includes the second most frequent names in the Kitáb-i-Aqdas. These names include the Almighty, All-Powerful, All-Capable, All-Subduing, and All-Sufficient. Each of these names expresses a different mode or aspect of God as Power. With God being the Creator, an awareness of God’s Power and omnipotence follows.</w:t>
      </w:r>
    </w:p>
    <w:p>
      <w:pPr>
        <w:pStyle w:val="BodyText"/>
      </w:pPr>
      <w:r>
        <w:t xml:space="preserve">Might can be synonymous with strength, especially with the traditional notions of being able to exert a great amount of force. Power can be viewed in how strength can be projected, or in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pPr>
        <w:pStyle w:val="BodyText"/>
      </w:pPr>
      <w:r>
        <w:t xml:space="preserve">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and is therefore part of the greater mystery of God.</w:t>
      </w:r>
    </w:p>
    <w:p>
      <w:pPr>
        <w:pStyle w:val="BodyText"/>
      </w:pPr>
      <w:r>
        <w:t xml:space="preserve">There is hidden strength, such as how fine-tuned the laws of physics are or how life seemingly came from inert matter. Power does not need to be coercive but instead influential, such as in its role to guide hearts or establish those natural laws. The rotation of the planets or the growth of a seed show how God 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w:t>
      </w:r>
      <w:r>
        <w:t xml:space="preserve"> </w:t>
      </w:r>
      <w:r>
        <w:t xml:space="preserve">“</w:t>
      </w:r>
      <w:r>
        <w:t xml:space="preserve">He can seize the world with a single word of His presence.</w:t>
      </w:r>
      <w:r>
        <w:t xml:space="preserve">”</w:t>
      </w:r>
      <w:r>
        <w:rPr>
          <w:rStyle w:val="FootnoteReference"/>
        </w:rPr>
        <w:footnoteReference w:id="28"/>
      </w:r>
    </w:p>
    <w:p>
      <w:pPr>
        <w:pStyle w:val="BodyText"/>
      </w:pPr>
      <w:r>
        <w:t xml:space="preserve">The next 14 groups include the quality of Power.</w:t>
      </w:r>
    </w:p>
    <w:bookmarkEnd w:id="29"/>
    <w:bookmarkStart w:id="30" w:name="lordship-51"/>
    <w:p>
      <w:pPr>
        <w:pStyle w:val="Heading3"/>
      </w:pPr>
      <w:r>
        <w:t xml:space="preserve">1.2.6 Lordship (51)</w:t>
      </w:r>
    </w:p>
    <w:p>
      <w:pPr>
        <w:pStyle w:val="FirstParagraph"/>
      </w:pPr>
      <w:r>
        <w:t xml:space="preserve">The Kitáb-i-Aqdas includes many different ways of describing the various ways God is Lord. The title of Lord is used to describe concepts such as the Lord of Beauty, of all Religion, of Grandeur, and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pPr>
        <w:pStyle w:val="BodyText"/>
      </w:pPr>
      <w:r>
        <w:t xml:space="preserve">God is the ruler over all creation, although as God is Subtlety, Lordship can also be a mystery. Lordship might be observed through the Manifestation of Signs, understood through Knowledge, witnessed through Creation, and felt through Power.</w:t>
      </w:r>
    </w:p>
    <w:p>
      <w:pPr>
        <w:pStyle w:val="BodyText"/>
      </w:pPr>
      <w:r>
        <w:t xml:space="preserve">The next 13 groups include the quality of Lordship.</w:t>
      </w:r>
    </w:p>
    <w:bookmarkEnd w:id="30"/>
    <w:bookmarkStart w:id="31" w:name="justice-6"/>
    <w:p>
      <w:pPr>
        <w:pStyle w:val="Heading3"/>
      </w:pPr>
      <w:r>
        <w:t xml:space="preserve">1.2.7 Justice (6)</w:t>
      </w:r>
    </w:p>
    <w:p>
      <w:pPr>
        <w:pStyle w:val="FirstParagraph"/>
      </w:pPr>
      <w:r>
        <w:t xml:space="preserve">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pPr>
        <w:pStyle w:val="BodyText"/>
      </w:pPr>
      <w:r>
        <w:t xml:space="preserve">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pPr>
        <w:pStyle w:val="BodyText"/>
      </w:pPr>
      <w:r>
        <w:t xml:space="preserve">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pPr>
        <w:pStyle w:val="BodyText"/>
      </w:pPr>
      <w:r>
        <w:t xml:space="preserve">The next 12 groups include the quality of Justice.</w:t>
      </w:r>
    </w:p>
    <w:bookmarkEnd w:id="31"/>
    <w:bookmarkStart w:id="32" w:name="exaltation-9"/>
    <w:p>
      <w:pPr>
        <w:pStyle w:val="Heading3"/>
      </w:pPr>
      <w:r>
        <w:t xml:space="preserve">1.2.8 Exaltation (9)</w:t>
      </w:r>
    </w:p>
    <w:p>
      <w:pPr>
        <w:pStyle w:val="FirstParagraph"/>
      </w:pPr>
      <w:r>
        <w:t xml:space="preserve">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pPr>
        <w:pStyle w:val="BodyText"/>
      </w:pPr>
      <w:r>
        <w:t xml:space="preserve">Given God’s Knowledge and Power, the Name of Greatest Infallibility demonstrates the fairness and righteousness of justice, showing that God does not and will not make an error. God’s Subtlety can make His Exaltation seem veiled, especially when compared to more superficial things we can place above ourselves, or when we place ourselves above everything. Subtlety is what creates awe and acknowledges God’s extraordinary nature, despite His being incomprehensible. The Manifestation of the Signs and of God help reveal different aspects of God’s exalted nature.</w:t>
      </w:r>
    </w:p>
    <w:p>
      <w:pPr>
        <w:pStyle w:val="BodyText"/>
      </w:pPr>
      <w:r>
        <w:t xml:space="preserve">The belief in God’s Exaltation is not because God feels jealousy if you do not believe it, nor because He needs to be exalted to feel good. The belief in God’s Exaltation is a function of God’s Lordship and Justice above any other form of justice and authority.</w:t>
      </w:r>
    </w:p>
    <w:p>
      <w:pPr>
        <w:pStyle w:val="BodyText"/>
      </w:pPr>
      <w:r>
        <w:t xml:space="preserve">The next 11 groups include the quality of Exaltation.</w:t>
      </w:r>
    </w:p>
    <w:bookmarkEnd w:id="32"/>
    <w:bookmarkStart w:id="35" w:name="independence-9"/>
    <w:p>
      <w:pPr>
        <w:pStyle w:val="Heading3"/>
      </w:pPr>
      <w:r>
        <w:t xml:space="preserve">1.2.9 Independence (9)</w:t>
      </w:r>
    </w:p>
    <w:p>
      <w:pPr>
        <w:pStyle w:val="FirstParagraph"/>
      </w:pPr>
      <w:r>
        <w:t xml:space="preserve">The names of God in the group Independence include Self-Sufficient, Self-Subsisting, and Independent of All Worlds. It should be noted that the Power group utilized the Name All-Sufficient. All-Sufficient demonstrates how God can suffice all things, whereas Self-Sufficient shows how God can suffice Himself without requiring any support from creation itself.</w:t>
      </w:r>
    </w:p>
    <w:p>
      <w:pPr>
        <w:pStyle w:val="BodyText"/>
      </w:pPr>
      <w:r>
        <w:t xml:space="preserve">God has complete autonomy. God is independent of our own belief or exaltation. It also means God does not need anything in return for being Just, Almighty, All-Knowing, and Inaccessible. God acts only due to His own purpose. This purpose, this Cause, is solely for creation’s benefit.</w:t>
      </w:r>
      <w:r>
        <w:t xml:space="preserve"> </w:t>
      </w:r>
      <w:r>
        <w:t xml:space="preserve">“</w:t>
      </w:r>
      <w:r>
        <w:t xml:space="preserve">Evil deeds do not harm Us, good deeds do not benefit Us</w:t>
      </w:r>
      <w:r>
        <w:t xml:space="preserve">”</w:t>
      </w:r>
      <w:r>
        <w:rPr>
          <w:rStyle w:val="FootnoteReference"/>
        </w:rPr>
        <w:footnoteReference w:id="33"/>
      </w:r>
      <w:r>
        <w:t xml:space="preserve"> </w:t>
      </w:r>
      <w:r>
        <w:t xml:space="preserve">and due to this, God is free of corruption.</w:t>
      </w:r>
      <w:r>
        <w:rPr>
          <w:rStyle w:val="FootnoteReference"/>
        </w:rPr>
        <w:footnoteReference w:id="34"/>
      </w:r>
    </w:p>
    <w:p>
      <w:pPr>
        <w:pStyle w:val="BodyText"/>
      </w:pPr>
      <w:r>
        <w:t xml:space="preserve">The next 10 groups include the quality of Independence.</w:t>
      </w:r>
    </w:p>
    <w:bookmarkEnd w:id="35"/>
    <w:bookmarkStart w:id="36" w:name="command-6"/>
    <w:p>
      <w:pPr>
        <w:pStyle w:val="Heading3"/>
      </w:pPr>
      <w:r>
        <w:t xml:space="preserve">1.2.10 Command (6)</w:t>
      </w:r>
    </w:p>
    <w:p>
      <w:pPr>
        <w:pStyle w:val="FirstParagraph"/>
      </w:pPr>
      <w:r>
        <w:t xml:space="preserve">The Kitáb-i-Aqdas describes God as being the Commander, Ordainer, and Fulfiller. These names serve as the foundation for legislation and the execution of this legislation. These roles in one way serve as the Word through which the entire framework of order, laws, directives, and intentions are used to shape the destiny of creation.</w:t>
      </w:r>
    </w:p>
    <w:p>
      <w:pPr>
        <w:pStyle w:val="BodyText"/>
      </w:pPr>
      <w:r>
        <w:t xml:space="preserve">It would seem justice would require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pPr>
        <w:pStyle w:val="BodyText"/>
      </w:pPr>
      <w:r>
        <w:t xml:space="preserve">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pPr>
        <w:pStyle w:val="BodyText"/>
      </w:pPr>
      <w:r>
        <w:t xml:space="preserve">The next 9 groups include the quality of Command.</w:t>
      </w:r>
    </w:p>
    <w:bookmarkEnd w:id="36"/>
    <w:bookmarkStart w:id="37" w:name="counsel-6"/>
    <w:p>
      <w:pPr>
        <w:pStyle w:val="Heading3"/>
      </w:pPr>
      <w:r>
        <w:t xml:space="preserve">1.2.11 Counsel (6)</w:t>
      </w:r>
    </w:p>
    <w:p>
      <w:pPr>
        <w:pStyle w:val="FirstParagraph"/>
      </w:pPr>
      <w:r>
        <w:t xml:space="preserve">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pPr>
        <w:pStyle w:val="BodyText"/>
      </w:pPr>
      <w:r>
        <w:t xml:space="preserve">Belief in God as a Counselor means you believe God can provide you with advice and wisdom. This originates from God being Wise and All-Informed. God can do this as the Speaker, using His Word or Manifestations of His Word to provide guidance at any time. This guidance could be sought or offered voluntarily. These counsels, advice, and wisdom act within God’s name Source of Inspiration. The inspirations given could be inner understandings or renewed energies to act.</w:t>
      </w:r>
    </w:p>
    <w:p>
      <w:pPr>
        <w:pStyle w:val="BodyText"/>
      </w:pPr>
      <w:r>
        <w:t xml:space="preserve">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God’s counsel is effective through God’s independence, ensuring the counsel is solely for the benefit of creation, not from any need or want.</w:t>
      </w:r>
    </w:p>
    <w:p>
      <w:pPr>
        <w:pStyle w:val="BodyText"/>
      </w:pPr>
      <w:r>
        <w:t xml:space="preserve">The next 8 groups include the quality of Counsel.</w:t>
      </w:r>
    </w:p>
    <w:bookmarkEnd w:id="37"/>
    <w:bookmarkStart w:id="38" w:name="faithfulness-3"/>
    <w:p>
      <w:pPr>
        <w:pStyle w:val="Heading3"/>
      </w:pPr>
      <w:r>
        <w:t xml:space="preserve">1.2.12 Faithfulness (3)</w:t>
      </w:r>
    </w:p>
    <w:p>
      <w:pPr>
        <w:pStyle w:val="FirstParagraph"/>
      </w:pPr>
      <w:r>
        <w:t xml:space="preserve">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pPr>
        <w:pStyle w:val="BodyText"/>
      </w:pPr>
      <w:r>
        <w:t xml:space="preserve">Belief in God as being Trustworthy is the result of believing God’s counsel and command. You can trust that God’s command and counsel are not only wise, but upheld. They are not arbitrary or motivated by negative qualities such as selfishness. God can be relied upon in good times and in bad times to exist within all the names expressed. God upholds His promises and fulfills His roles as Lord and Creator justly.</w:t>
      </w:r>
    </w:p>
    <w:p>
      <w:pPr>
        <w:pStyle w:val="BodyText"/>
      </w:pPr>
      <w:r>
        <w:t xml:space="preserve">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make Him seem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pPr>
        <w:pStyle w:val="BodyText"/>
      </w:pPr>
      <w:r>
        <w:t xml:space="preserve">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pPr>
        <w:pStyle w:val="BodyText"/>
      </w:pPr>
      <w:r>
        <w:t xml:space="preserve">The next 7 groups include the quality of Faithfulness.</w:t>
      </w:r>
    </w:p>
    <w:bookmarkEnd w:id="38"/>
    <w:bookmarkStart w:id="39" w:name="praise-4"/>
    <w:p>
      <w:pPr>
        <w:pStyle w:val="Heading3"/>
      </w:pPr>
      <w:r>
        <w:t xml:space="preserve">1.2.13 Praise (4)</w:t>
      </w:r>
    </w:p>
    <w:p>
      <w:pPr>
        <w:pStyle w:val="FirstParagraph"/>
      </w:pPr>
      <w:r>
        <w:t xml:space="preserve">God’s names in this group include All-Praised, Praised, and Praiseworthy. This demonstrates how created entities, not just humanity, praise God and His names. God is worthy of adoration due to how all of these prior names are manifested within creation.</w:t>
      </w:r>
    </w:p>
    <w:p>
      <w:pPr>
        <w:pStyle w:val="BodyText"/>
      </w:pPr>
      <w:r>
        <w:t xml:space="preserve">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that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can also be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pPr>
        <w:pStyle w:val="BodyText"/>
      </w:pPr>
      <w:r>
        <w:t xml:space="preserve">The next 6 groups include the quality of Praise.</w:t>
      </w:r>
    </w:p>
    <w:bookmarkEnd w:id="39"/>
    <w:bookmarkStart w:id="41" w:name="love-11"/>
    <w:p>
      <w:pPr>
        <w:pStyle w:val="Heading3"/>
      </w:pPr>
      <w:r>
        <w:t xml:space="preserve">1.2.14 Love (11)</w:t>
      </w:r>
    </w:p>
    <w:p>
      <w:pPr>
        <w:pStyle w:val="FirstParagraph"/>
      </w:pPr>
      <w:r>
        <w:t xml:space="preserve">Love is probably the most often stated attribute of God. It would seem natural to place the Love grouping much earlier in this. Bahá’u’lláh says</w:t>
      </w:r>
      <w:r>
        <w:t xml:space="preserve"> </w:t>
      </w:r>
      <w:r>
        <w:t xml:space="preserve">“</w:t>
      </w:r>
      <w:r>
        <w:t xml:space="preserve">I was in my ancient essence and eternal being when I knew my love for you; therefore, I created you, cast my image upon you, and revealed my beauty to you.</w:t>
      </w:r>
      <w:r>
        <w:t xml:space="preserve">”</w:t>
      </w:r>
      <w:r>
        <w:rPr>
          <w:rStyle w:val="FootnoteReference"/>
        </w:rPr>
        <w:footnoteReference w:id="40"/>
      </w:r>
      <w:r>
        <w:t xml:space="preserve"> </w:t>
      </w:r>
      <w:r>
        <w:t xml:space="preserve">It appears love was the beginning, but the ancient essence of Subtlety is the beginning.</w:t>
      </w:r>
    </w:p>
    <w:p>
      <w:pPr>
        <w:pStyle w:val="BodyText"/>
      </w:pPr>
      <w:r>
        <w:t xml:space="preserve">Believing in God through Subtlety can teach that God’s presence is real, even when unseen. This is a foundation which prepares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Everything is the gift. Love is born from Power, as it is protective and able to sustain creation. Love without power is ineffective. Love has authority derived from God’s Lordship, and is expressed with authority. God’s love can lead one wisely. If Love were not a result of Justice, it would not be perfectly balanced. God does not favor in Love, nor is He inequitable.</w:t>
      </w:r>
    </w:p>
    <w:p>
      <w:pPr>
        <w:pStyle w:val="BodyText"/>
      </w:pPr>
      <w:r>
        <w:t xml:space="preserve">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His Love is True. God is not dependent on our love, which means His Love is completely free. The Command of God demonstrates how Love provides direction through laws, teachings, and boundaries. Love is not merely a feeling, but God’s Love includes guidance. God’s Love is not silent, and He can speak and inspire, providing loving counsel. Faithfulness teaches that Love is reliable, and any unreliable love is not love. Love is eternal, just as God is eternal. God will not abandon or forget His creation.</w:t>
      </w:r>
    </w:p>
    <w:p>
      <w:pPr>
        <w:pStyle w:val="BodyText"/>
      </w:pPr>
      <w:r>
        <w:t xml:space="preserve">Once recognizing God’s greatness through these various names and attributes, Praise teaches that God’s greatness naturally leads to Love. Feeling and understanding how wonderful God is, in all of these attributes, there is no other result than to also love Him. Love itself is the highest form of praise. As an example of God’s Love, His names include Beloved, Loving, and Gracious.</w:t>
      </w:r>
    </w:p>
    <w:p>
      <w:pPr>
        <w:pStyle w:val="BodyText"/>
      </w:pPr>
      <w:r>
        <w:t xml:space="preserve">Grace is an attribute which encapsulates God’s Love succinctly. It is personal and relational. When we started with God as being inaccessible, God’s love is deeply personal.</w:t>
      </w:r>
      <w:r>
        <w:t xml:space="preserve"> </w:t>
      </w:r>
      <w:r>
        <w:t xml:space="preserve">“</w:t>
      </w:r>
      <w:r>
        <w:t xml:space="preserve">I knew my Love for You.</w:t>
      </w:r>
      <w:r>
        <w:t xml:space="preserve">”</w:t>
      </w:r>
      <w:r>
        <w:t xml:space="preserve"> </w:t>
      </w:r>
      <w:r>
        <w:t xml:space="preserve">Grace is intimate. Grace is the foundation of spiritual aid. Grace is Love in action. Grace is given even if it is not deserved. Every person, being created out of Love, is a recipient of Grace.</w:t>
      </w:r>
    </w:p>
    <w:p>
      <w:pPr>
        <w:pStyle w:val="BodyText"/>
      </w:pPr>
      <w:r>
        <w:t xml:space="preserve">The next 5 groups include the quality of Love.</w:t>
      </w:r>
    </w:p>
    <w:bookmarkEnd w:id="41"/>
    <w:bookmarkStart w:id="42" w:name="forgiveness-15"/>
    <w:p>
      <w:pPr>
        <w:pStyle w:val="Heading3"/>
      </w:pPr>
      <w:r>
        <w:t xml:space="preserve">1.2.15 Forgiveness (15)</w:t>
      </w:r>
    </w:p>
    <w:p>
      <w:pPr>
        <w:pStyle w:val="FirstParagraph"/>
      </w:pPr>
      <w:r>
        <w:t xml:space="preserve">Forgiveness is one of the ultimate expressions of love. With the names of God including All-Forgiving, Ever-Forgiving, and Oft-Forgiving, we see forgiveness can include forgiving all transgressions, lasting eternally, and can occur with great frequency. There are no limitations on what can be forgiven for God, and any forgiveness lasts forever. What is forgiven today will not be held against you tomorrow.</w:t>
      </w:r>
    </w:p>
    <w:p>
      <w:pPr>
        <w:pStyle w:val="BodyText"/>
      </w:pPr>
      <w:r>
        <w:t xml:space="preserve">Believing in the Forgiveness of God does require believing in the qualities of God’s Love. Once we know love is not transactional and completely selfless, we can also believe forgiveness is also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one feel that the love is constantly being expressed and renewed, and that its purpose is to uplift creation. God’s command and counsel are not about creating a fear of punishment, but about deepening the relationship we have with God.</w:t>
      </w:r>
    </w:p>
    <w:p>
      <w:pPr>
        <w:pStyle w:val="BodyText"/>
      </w:pPr>
      <w:r>
        <w:t xml:space="preserve">The next 4 groups include the quality of Forgiveness.</w:t>
      </w:r>
    </w:p>
    <w:bookmarkEnd w:id="42"/>
    <w:bookmarkStart w:id="43" w:name="mercy-29"/>
    <w:p>
      <w:pPr>
        <w:pStyle w:val="Heading3"/>
      </w:pPr>
      <w:r>
        <w:t xml:space="preserve">1.2.16 Mercy (29)</w:t>
      </w:r>
    </w:p>
    <w:p>
      <w:pPr>
        <w:pStyle w:val="FirstParagraph"/>
      </w:pPr>
      <w:r>
        <w:t xml:space="preserve">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pPr>
        <w:pStyle w:val="BodyText"/>
      </w:pPr>
      <w:r>
        <w:t xml:space="preserve">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fall, making sure the child will not be harmed too much by falling, and guiding them so they can keep trying to walk. Eventually, this expression of love and nurture will lead to the success and growth of the child.</w:t>
      </w:r>
    </w:p>
    <w:p>
      <w:pPr>
        <w:pStyle w:val="BodyText"/>
      </w:pPr>
      <w:r>
        <w:t xml:space="preserve">God’s Mercy is eternal, unconditional, powerful, and subtle. It can sometimes seem difficult to understand His Mercy when we are going through difficult times and His Mercy seems hidden. Yet, it is always there, invisibly ensuring our progress and success.</w:t>
      </w:r>
    </w:p>
    <w:p>
      <w:pPr>
        <w:pStyle w:val="BodyText"/>
      </w:pPr>
      <w:r>
        <w:t xml:space="preserve">The next 3 groups include the quality of Mercy.</w:t>
      </w:r>
    </w:p>
    <w:bookmarkEnd w:id="43"/>
    <w:bookmarkStart w:id="45" w:name="generosity-22"/>
    <w:p>
      <w:pPr>
        <w:pStyle w:val="Heading3"/>
      </w:pPr>
      <w:r>
        <w:t xml:space="preserve">1.2.17 Generosity (22)</w:t>
      </w:r>
    </w:p>
    <w:p>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according to our needs and capacity. The abundance is intentional and specific.</w:t>
      </w:r>
      <w:r>
        <w:t xml:space="preserve"> </w:t>
      </w:r>
      <w:r>
        <w:t xml:space="preserve">“</w:t>
      </w:r>
      <w:r>
        <w:t xml:space="preserve">God enriches who He wills through the means of the heaven and earth.</w:t>
      </w:r>
      <w:r>
        <w:t xml:space="preserve">”</w:t>
      </w:r>
      <w:r>
        <w:rPr>
          <w:rStyle w:val="FootnoteReference"/>
        </w:rPr>
        <w:footnoteReference w:id="44"/>
      </w:r>
    </w:p>
    <w:p>
      <w:pPr>
        <w:pStyle w:val="BodyText"/>
      </w:pPr>
      <w:r>
        <w:t xml:space="preserve">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 all of creation, which itself is an act of generosity. As God’s Power is absolute, there are no constraints by need or scarcity. God can give without any limitations. Lordship is reflected because God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of how to live a righteous life through His command and counsel. These gifts allow us to thrive, not just merely survive. God’s generosity is faithful and unwavering. Even though belief in God’s praiseworthiness allows us to recognize His love and generosity, His generosity also gives us more reasons to offer praise to Him. We are moved to glorify Him. Forgiveness itself is an act of generosity, offering a fresh start and renewal.</w:t>
      </w:r>
    </w:p>
    <w:p>
      <w:pPr>
        <w:pStyle w:val="BodyText"/>
      </w:pPr>
      <w:r>
        <w:t xml:space="preserve">The next 2 groups include the quality of generosity.</w:t>
      </w:r>
    </w:p>
    <w:bookmarkEnd w:id="45"/>
    <w:bookmarkStart w:id="46" w:name="sovereignty-4"/>
    <w:p>
      <w:pPr>
        <w:pStyle w:val="Heading3"/>
      </w:pPr>
      <w:r>
        <w:t xml:space="preserve">1.2.18 Sovereignty (4)</w:t>
      </w:r>
    </w:p>
    <w:p>
      <w:pPr>
        <w:pStyle w:val="FirstParagraph"/>
      </w:pPr>
      <w:r>
        <w:t xml:space="preserve">Belief in God as the Sovereign, Lord of Dominion, the Ruler, and the Master</w:t>
      </w:r>
      <w:r>
        <w:t xml:space="preserve"> </w:t>
      </w:r>
      <w:r>
        <w:rPr>
          <w:iCs/>
          <w:i/>
          <w:bCs/>
          <w:b/>
        </w:rPr>
        <w:t xml:space="preserve">is</w:t>
      </w:r>
      <w:r>
        <w:t xml:space="preserve"> </w:t>
      </w:r>
      <w:r>
        <w:t xml:space="preserve">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pPr>
        <w:pStyle w:val="BodyText"/>
      </w:pPr>
      <w:r>
        <w:t xml:space="preserve">Believing in God as the Sovereign means you believe His authority is absolute and independent of any other authority. As a Ruler, there is belief that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pPr>
        <w:pStyle w:val="BodyText"/>
      </w:pPr>
      <w:r>
        <w:t xml:space="preserve">Recognizing God’s sovereignty crowns this progression, affirming His ultimate control over all realms.</w:t>
      </w:r>
    </w:p>
    <w:bookmarkEnd w:id="46"/>
    <w:bookmarkStart w:id="48" w:name="purity-9"/>
    <w:p>
      <w:pPr>
        <w:pStyle w:val="Heading3"/>
      </w:pPr>
      <w:r>
        <w:t xml:space="preserve">1.2.19 Purity (9)</w:t>
      </w:r>
    </w:p>
    <w:p>
      <w:pPr>
        <w:pStyle w:val="FirstParagraph"/>
      </w:pPr>
      <w:r>
        <w:t xml:space="preserve">Purity includes the names of Purest, True, and One. This is the pinnacle of belief in God. These names describe God’s transcendence, incorruptibility, and oneness. Being the Purest, God is beyond all 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pPr>
        <w:pStyle w:val="BodyText"/>
      </w:pPr>
      <w:r>
        <w:t xml:space="preserve">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lacking belief in the other names of God?</w:t>
      </w:r>
    </w:p>
    <w:p>
      <w:pPr>
        <w:numPr>
          <w:ilvl w:val="0"/>
          <w:numId w:val="1001"/>
        </w:numPr>
        <w:pStyle w:val="Compact"/>
      </w:pPr>
      <w:r>
        <w:t xml:space="preserve">Belief in God’s Oneness without belief in God’s Subtlety might view God as being remote, causing a possible agnostic or deistic perspective.</w:t>
      </w:r>
    </w:p>
    <w:p>
      <w:pPr>
        <w:numPr>
          <w:ilvl w:val="0"/>
          <w:numId w:val="1001"/>
        </w:numPr>
        <w:pStyle w:val="Compact"/>
      </w:pPr>
      <w:r>
        <w:t xml:space="preserve">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pPr>
        <w:numPr>
          <w:ilvl w:val="0"/>
          <w:numId w:val="1001"/>
        </w:numPr>
        <w:pStyle w:val="Compact"/>
      </w:pPr>
      <w:r>
        <w:t xml:space="preserve">Belief in God’s Oneness without belief in God’s Knowledge causes one to feel God lacks wisdom and His rulings imperfect and arbitrary. This could cause a fatalistic or impersonal view of God where He is not aware of individual lives.</w:t>
      </w:r>
    </w:p>
    <w:p>
      <w:pPr>
        <w:numPr>
          <w:ilvl w:val="0"/>
          <w:numId w:val="1001"/>
        </w:numPr>
        <w:pStyle w:val="Compact"/>
      </w:pPr>
      <w:r>
        <w:t xml:space="preserve">Belief in God’s Oneness without belief in God as Creator would remove God’s role as the source of existence. This would lead to pantheism or atheism.</w:t>
      </w:r>
    </w:p>
    <w:p>
      <w:pPr>
        <w:numPr>
          <w:ilvl w:val="0"/>
          <w:numId w:val="1001"/>
        </w:numPr>
        <w:pStyle w:val="Compact"/>
      </w:pPr>
      <w:r>
        <w:t xml:space="preserve">Belief in God’s Oneness without belief in God’s Power means His oneness is meaningless as He cannot act. This could lead to polytheism or dualism where other forces compete with God’s will.</w:t>
      </w:r>
    </w:p>
    <w:p>
      <w:pPr>
        <w:numPr>
          <w:ilvl w:val="0"/>
          <w:numId w:val="1001"/>
        </w:numPr>
        <w:pStyle w:val="Compact"/>
      </w:pPr>
      <w:r>
        <w:t xml:space="preserve">Belief in God’s Oneness without belief in God’s Lordship would mean God is unable to sustain or guide His creation. This could lead to nihilism.</w:t>
      </w:r>
    </w:p>
    <w:p>
      <w:pPr>
        <w:numPr>
          <w:ilvl w:val="0"/>
          <w:numId w:val="1001"/>
        </w:numPr>
        <w:pStyle w:val="Compact"/>
      </w:pPr>
      <w:r>
        <w:t xml:space="preserve">Belief in God’s Oneness without Justice might make it seem God is unconcerned with fairness or morality. This could lead to tyranny, cruelty, or oppressive religious views where oneness is used as the justification.</w:t>
      </w:r>
    </w:p>
    <w:p>
      <w:pPr>
        <w:numPr>
          <w:ilvl w:val="0"/>
          <w:numId w:val="1001"/>
        </w:numPr>
        <w:pStyle w:val="Compact"/>
      </w:pPr>
      <w:r>
        <w:t xml:space="preserve">Belief in God’s Oneness without Exaltation might make God seem too human, leading to anthropomorphism where God is viewed as a human-like figure.</w:t>
      </w:r>
    </w:p>
    <w:p>
      <w:pPr>
        <w:numPr>
          <w:ilvl w:val="0"/>
          <w:numId w:val="1001"/>
        </w:numPr>
        <w:pStyle w:val="Compact"/>
      </w:pPr>
      <w:r>
        <w:t xml:space="preserve">Belief in God’s Oneness without Independence would cause belief that God needs something to exist, leading to a belief in paganism where others share divine authority.</w:t>
      </w:r>
    </w:p>
    <w:p>
      <w:pPr>
        <w:numPr>
          <w:ilvl w:val="0"/>
          <w:numId w:val="1001"/>
        </w:numPr>
        <w:pStyle w:val="Compact"/>
      </w:pPr>
      <w:r>
        <w:t xml:space="preserve">Belief in God’s Oneness without belief in His Command would lead to moral relativism where there are no consequences or ultimate justice, possibly no right or wrong.</w:t>
      </w:r>
    </w:p>
    <w:p>
      <w:pPr>
        <w:numPr>
          <w:ilvl w:val="0"/>
          <w:numId w:val="1001"/>
        </w:numPr>
        <w:pStyle w:val="Compact"/>
      </w:pPr>
      <w:r>
        <w:t xml:space="preserve">Belief in God’s Oneness without His Counsel would have one believe there is no divine wisdom guiding human affairs, leading to despair or confusion and potentially to being directionless.</w:t>
      </w:r>
    </w:p>
    <w:p>
      <w:pPr>
        <w:numPr>
          <w:ilvl w:val="0"/>
          <w:numId w:val="1001"/>
        </w:numPr>
        <w:pStyle w:val="Compact"/>
      </w:pPr>
      <w:r>
        <w:t xml:space="preserve">Belief in God’s Oneness without His Faithfulness could make God seem fickle and unreliable in fulfilling promises. This would lead to distrust in religion and to fear that God is not dependable.</w:t>
      </w:r>
    </w:p>
    <w:p>
      <w:pPr>
        <w:numPr>
          <w:ilvl w:val="0"/>
          <w:numId w:val="1001"/>
        </w:numPr>
        <w:pStyle w:val="Compact"/>
      </w:pPr>
      <w:r>
        <w:t xml:space="preserve">Belief in Oneness but not belief in God’s praiseworthiness would mean worship has no meaning. God would not inspire love or devotion, leading to spiritual emptiness.</w:t>
      </w:r>
    </w:p>
    <w:p>
      <w:pPr>
        <w:numPr>
          <w:ilvl w:val="0"/>
          <w:numId w:val="1001"/>
        </w:numPr>
        <w:pStyle w:val="Compact"/>
      </w:pPr>
      <w:r>
        <w:t xml:space="preserve">Belief in Oneness without belief in God’s love makes oneness cold and rigid. It leads to fear-based religion, where obedience is motivated by dread.</w:t>
      </w:r>
    </w:p>
    <w:p>
      <w:pPr>
        <w:numPr>
          <w:ilvl w:val="0"/>
          <w:numId w:val="1001"/>
        </w:numPr>
        <w:pStyle w:val="Compact"/>
      </w:pPr>
      <w:r>
        <w:t xml:space="preserve">Belief in God’s Oneness without His forgiveness makes God seem unapproachable and terrifying. This would lead to a legalistic religion where perfection is the only goal to prevent eternal condemnation.</w:t>
      </w:r>
    </w:p>
    <w:p>
      <w:pPr>
        <w:numPr>
          <w:ilvl w:val="0"/>
          <w:numId w:val="1001"/>
        </w:numPr>
        <w:pStyle w:val="Compact"/>
      </w:pPr>
      <w:r>
        <w:t xml:space="preserve">Belief in God’s Oneness without His Mercy is rigid and oppressive, leading to hopelessness and possibly depression, where a sinner may feel there is no way back to God or salvation.</w:t>
      </w:r>
    </w:p>
    <w:p>
      <w:pPr>
        <w:numPr>
          <w:ilvl w:val="0"/>
          <w:numId w:val="1001"/>
        </w:numPr>
        <w:pStyle w:val="Compact"/>
      </w:pPr>
      <w:r>
        <w:t xml:space="preserve">Belief in God’s Oneness without His generosity is a belief where creation is an accident and good things are merely a matter of luck. This could lead to pessimism where people believe God does not care about their well-being.</w:t>
      </w:r>
    </w:p>
    <w:p>
      <w:pPr>
        <w:numPr>
          <w:ilvl w:val="0"/>
          <w:numId w:val="1001"/>
        </w:numPr>
        <w:pStyle w:val="Compact"/>
      </w:pPr>
      <w:r>
        <w:t xml:space="preserve">Belief in God’s Oneness without His sovereignty could mean God has no impact and other forces could challenge Him. This also could lead to polytheism or deism where God’s rule is questioned, challenged, or replaced by others.</w:t>
      </w:r>
    </w:p>
    <w:p>
      <w:pPr>
        <w:pStyle w:val="FirstParagraph"/>
      </w:pPr>
      <w:r>
        <w:t xml:space="preserve">Belief in God’s Purity leads to an understanding that there is no partner with God as the Greatest Infallibility</w:t>
      </w:r>
      <w:r>
        <w:rPr>
          <w:rStyle w:val="FootnoteReference"/>
        </w:rPr>
        <w:footnoteReference w:id="47"/>
      </w:r>
      <w:r>
        <w:t xml:space="preserve">. No one else has been given a share in this station. This belief means God never errs and is absent of imperfection. Truth is never compromised. The essence of infallibility is oneness, as God cannot be divided against Himself.</w:t>
      </w:r>
    </w:p>
    <w:p>
      <w:pPr>
        <w:pStyle w:val="BodyText"/>
      </w:pPr>
      <w:r>
        <w:t xml:space="preserve">As you can see, a lack of belief in any one of these names or attributes compromises belief in God’s purity, truth, and oneness. If any are missing, God cannot truly be One and God cannot be True. With any missing, instead of religion we develop some other type of corrupt ideology which lacks the completeness of truth, spirit, and experience.</w:t>
      </w:r>
    </w:p>
    <w:p>
      <w:pPr>
        <w:pStyle w:val="BodyText"/>
      </w:pPr>
      <w:r>
        <w:rPr>
          <w:iCs/>
          <w:i/>
        </w:rPr>
        <w:t xml:space="preserve">Reflection: Which name or attribute felt most real to you, and which felt most distant?</w:t>
      </w:r>
    </w:p>
    <w:p>
      <w:pPr>
        <w:pStyle w:val="BodyText"/>
      </w:pPr>
      <w:r>
        <w:t xml:space="preserve">These names teach us who God is, but they also point beyond themselves, toward the purpose behind what has been revealed.</w:t>
      </w:r>
    </w:p>
    <w:bookmarkEnd w:id="48"/>
    <w:bookmarkEnd w:id="49"/>
    <w:bookmarkStart w:id="54" w:name="the-purpose-of-god"/>
    <w:p>
      <w:pPr>
        <w:pStyle w:val="Heading2"/>
      </w:pPr>
      <w:r>
        <w:t xml:space="preserve">1.3 The Purpose of God</w:t>
      </w:r>
    </w:p>
    <w:p>
      <w:pPr>
        <w:pStyle w:val="FirstParagraph"/>
      </w:pPr>
      <w:r>
        <w:t xml:space="preserve">“</w:t>
      </w:r>
      <w:r>
        <w:t xml:space="preserve">Blessed is the one who understands the purpose of God in what has been revealed from the heaven of His will, which reigns supreme over all the worlds.</w:t>
      </w:r>
      <w:r>
        <w:t xml:space="preserve">”</w:t>
      </w:r>
      <w:r>
        <w:rPr>
          <w:rStyle w:val="FootnoteReference"/>
        </w:rPr>
        <w:footnoteReference w:id="50"/>
      </w:r>
      <w:r>
        <w:t xml:space="preserve"> </w:t>
      </w:r>
      <w:r>
        <w:t xml:space="preserve">What is the purpose of God? Within the 19 groups of names and attributes, we learn about who or what God is, but we do not necessarily learn why God has acted as He has. There are various answers throughout the writings of the Báb and Bahá’u’lláh. One answer by the Báb is</w:t>
      </w:r>
      <w:r>
        <w:t xml:space="preserve"> </w:t>
      </w:r>
      <w:r>
        <w:t xml:space="preserve">“</w:t>
      </w:r>
      <w:r>
        <w:t xml:space="preserve">Your purpose for me is that I recognize You in all things, so that I may not be ignorant of You in anything.</w:t>
      </w:r>
      <w:r>
        <w:t xml:space="preserve">”</w:t>
      </w:r>
      <w:r>
        <w:rPr>
          <w:rStyle w:val="FootnoteReference"/>
        </w:rPr>
        <w:footnoteReference w:id="51"/>
      </w:r>
      <w:r>
        <w:t xml:space="preserve"> </w:t>
      </w:r>
      <w:r>
        <w:t xml:space="preserve">Bahá’u’lláh also says</w:t>
      </w:r>
      <w:r>
        <w:t xml:space="preserve"> </w:t>
      </w:r>
      <w:r>
        <w:t xml:space="preserve">“</w:t>
      </w:r>
      <w:r>
        <w:t xml:space="preserve">Whoever has known Me has known the intended purpose.</w:t>
      </w:r>
      <w:r>
        <w:t xml:space="preserve">”</w:t>
      </w:r>
      <w:r>
        <w:rPr>
          <w:rStyle w:val="FootnoteReference"/>
        </w:rPr>
        <w:footnoteReference w:id="52"/>
      </w:r>
    </w:p>
    <w:p>
      <w:pPr>
        <w:pStyle w:val="BodyText"/>
      </w:pPr>
      <w:r>
        <w:t xml:space="preserve">Belief in these names and attributes of God is a pathway to understanding what this purpose is. The purpose of God is not solely the commandments and prohibitions</w:t>
      </w:r>
      <w:r>
        <w:rPr>
          <w:rStyle w:val="FootnoteReference"/>
        </w:rPr>
        <w:footnoteReference w:id="53"/>
      </w:r>
      <w:r>
        <w:t xml:space="preserve"> </w:t>
      </w:r>
      <w:r>
        <w:t xml:space="preserve">and never will be.</w:t>
      </w:r>
    </w:p>
    <w:p>
      <w:pPr>
        <w:pStyle w:val="BodyText"/>
      </w:pPr>
      <w:r>
        <w:rPr>
          <w:iCs/>
          <w:i/>
        </w:rPr>
        <w:t xml:space="preserve">Reflection: If the purpose is to recognize God in all things, what is one place in your life you rarely look for Him?</w:t>
      </w:r>
    </w:p>
    <w:p>
      <w:pPr>
        <w:pStyle w:val="BodyText"/>
      </w:pPr>
      <w:r>
        <w:t xml:space="preserve">The purpose of God is not merely stated, it is carried, and one way it is carried is through what Bahá’u’lláh calls the Breath of God.</w:t>
      </w:r>
    </w:p>
    <w:bookmarkEnd w:id="54"/>
    <w:bookmarkStart w:id="59" w:name="the-breath-of-god"/>
    <w:p>
      <w:pPr>
        <w:pStyle w:val="Heading2"/>
      </w:pPr>
      <w:r>
        <w:t xml:space="preserve">1.4 The Breath of God</w:t>
      </w:r>
    </w:p>
    <w:p>
      <w:pPr>
        <w:pStyle w:val="FirstParagraph"/>
      </w:pPr>
      <w:r>
        <w:t xml:space="preserve">The breath of God is a mode in how God expresses His purpose. It</w:t>
      </w:r>
      <w:r>
        <w:t xml:space="preserve"> </w:t>
      </w:r>
      <w:r>
        <w:t xml:space="preserve">“</w:t>
      </w:r>
      <w:r>
        <w:t xml:space="preserve">wafts through all else</w:t>
      </w:r>
      <w:r>
        <w:t xml:space="preserve">”</w:t>
      </w:r>
      <w:r>
        <w:rPr>
          <w:rStyle w:val="FootnoteReference"/>
        </w:rPr>
        <w:footnoteReference w:id="55"/>
      </w:r>
      <w:r>
        <w:t xml:space="preserve"> </w:t>
      </w:r>
      <w:r>
        <w:t xml:space="preserve">and</w:t>
      </w:r>
      <w:r>
        <w:t xml:space="preserve"> </w:t>
      </w:r>
      <w:r>
        <w:t xml:space="preserve">“</w:t>
      </w:r>
      <w:r>
        <w:t xml:space="preserve">passes through all created things.</w:t>
      </w:r>
      <w:r>
        <w:t xml:space="preserve">”</w:t>
      </w:r>
      <w:r>
        <w:rPr>
          <w:rStyle w:val="FootnoteReference"/>
        </w:rPr>
        <w:footnoteReference w:id="56"/>
      </w:r>
      <w:r>
        <w:t xml:space="preserve"> </w:t>
      </w:r>
      <w:r>
        <w:t xml:space="preserve">The breath has fragrance</w:t>
      </w:r>
      <w:r>
        <w:rPr>
          <w:rStyle w:val="FootnoteReference"/>
        </w:rPr>
        <w:footnoteReference w:id="57"/>
      </w:r>
      <w:r>
        <w:t xml:space="preserve"> </w:t>
      </w:r>
      <w:r>
        <w:t xml:space="preserve">and causes action and movement. If there is no movement due to the breath of God, the person or object is considered dead.</w:t>
      </w:r>
      <w:r>
        <w:rPr>
          <w:rStyle w:val="FootnoteReference"/>
        </w:rPr>
        <w:footnoteReference w:id="58"/>
      </w:r>
      <w:r>
        <w:t xml:space="preserve"> </w:t>
      </w:r>
      <w:r>
        <w:t xml:space="preserve">Thus the breath of God is what gives life. Having both fragrance and life also means this breath can permeate and be deeply felt. Fragrance can attract others, but often fragrance can be hidden by other smells.</w:t>
      </w:r>
    </w:p>
    <w:p>
      <w:pPr>
        <w:pStyle w:val="BodyText"/>
      </w:pPr>
      <w:r>
        <w:t xml:space="preserve">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pPr>
        <w:pStyle w:val="BodyText"/>
      </w:pPr>
      <w:r>
        <w:rPr>
          <w:iCs/>
          <w:i/>
        </w:rPr>
        <w:t xml:space="preserve">Reflection: What in your life feels like fragrance and movement, and what feels like dead air?</w:t>
      </w:r>
    </w:p>
    <w:p>
      <w:pPr>
        <w:pStyle w:val="BodyText"/>
      </w:pPr>
      <w:r>
        <w:t xml:space="preserve">The Breath of God describes God’s influence, and the covenant describes our relationship to that influence, and what it asks of us.</w:t>
      </w:r>
    </w:p>
    <w:bookmarkEnd w:id="59"/>
    <w:bookmarkStart w:id="60" w:name="covenant-of-god"/>
    <w:p>
      <w:pPr>
        <w:pStyle w:val="Heading2"/>
      </w:pPr>
      <w:r>
        <w:t xml:space="preserve">1.5 Covenant of God</w:t>
      </w:r>
    </w:p>
    <w:p>
      <w:pPr>
        <w:pStyle w:val="FirstParagraph"/>
      </w:pPr>
      <w:r>
        <w:t xml:space="preserve">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that we believe in this covenant.</w:t>
      </w:r>
    </w:p>
    <w:p>
      <w:pPr>
        <w:pStyle w:val="BodyText"/>
      </w:pPr>
      <w:r>
        <w:rPr>
          <w:iCs/>
          <w:i/>
        </w:rPr>
        <w:t xml:space="preserve">Reflection: If God is faithful, what is one act of faithfulness you can offer in return?</w:t>
      </w:r>
    </w:p>
    <w:p>
      <w:pPr>
        <w:pStyle w:val="BodyText"/>
      </w:pPr>
      <w:r>
        <w:t xml:space="preserve">With these foundations set, we can now gather the thread of this chapter before turning toward the soul.</w:t>
      </w:r>
    </w:p>
    <w:bookmarkEnd w:id="60"/>
    <w:bookmarkStart w:id="61" w:name="chapter-summary"/>
    <w:p>
      <w:pPr>
        <w:pStyle w:val="Heading2"/>
      </w:pPr>
      <w:r>
        <w:t xml:space="preserve">1.6 Chapter Summary</w:t>
      </w:r>
    </w:p>
    <w:p>
      <w:pPr>
        <w:pStyle w:val="FirstParagraph"/>
      </w:pPr>
      <w:r>
        <w:t xml:space="preserve">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w:t>
      </w:r>
      <w:r>
        <w:t xml:space="preserve"> </w:t>
      </w:r>
      <w:r>
        <w:t xml:space="preserve">“</w:t>
      </w:r>
      <w:r>
        <w:t xml:space="preserve">Belief in the Human Soul,</w:t>
      </w:r>
      <w:r>
        <w:t xml:space="preserve">”</w:t>
      </w:r>
      <w:r>
        <w:t xml:space="preserve"> </w:t>
      </w:r>
      <w:r>
        <w:t xml:space="preserve">turns to the second foundation of this book: belief in the human soul, its reality, its unique nature, its inner struggles, and its fate.</w:t>
      </w:r>
    </w:p>
    <w:p>
      <w:r>
        <w:br w:type="page"/>
      </w:r>
    </w:p>
    <w:bookmarkEnd w:id="61"/>
    <w:bookmarkEnd w:id="62"/>
    <w:bookmarkStart w:id="96" w:name="belief-in-the-human-soul"/>
    <w:p>
      <w:pPr>
        <w:pStyle w:val="Heading1"/>
      </w:pPr>
      <w:r>
        <w:t xml:space="preserve">2. Belief in the Human Soul</w:t>
      </w:r>
    </w:p>
    <w:bookmarkStart w:id="63" w:name="chapter-introduction-1"/>
    <w:p>
      <w:pPr>
        <w:pStyle w:val="Heading2"/>
      </w:pPr>
      <w:r>
        <w:t xml:space="preserve">2.1 Chapter Introduction</w:t>
      </w:r>
    </w:p>
    <w:p>
      <w:pPr>
        <w:pStyle w:val="FirstParagraph"/>
      </w:pPr>
      <w:r>
        <w:t xml:space="preserve">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pPr>
        <w:pStyle w:val="BodyText"/>
      </w:pPr>
      <w:r>
        <w:t xml:space="preserve">The soul is an idea that appears across languages, eras, and peoples. Even when cultures are distant, people still speak of an inner reality that remembers, chooses, struggles, and longs for meaning. In Chapter 1, we looked outward, 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pPr>
        <w:pStyle w:val="BodyText"/>
      </w:pPr>
      <w:r>
        <w:t xml:space="preserve">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pPr>
        <w:pStyle w:val="BodyText"/>
      </w:pPr>
      <w:r>
        <w:rPr>
          <w:iCs/>
          <w:i/>
        </w:rPr>
        <w:t xml:space="preserve">Reflection: When you say</w:t>
      </w:r>
      <w:r>
        <w:rPr>
          <w:iCs/>
          <w:i/>
        </w:rPr>
        <w:t xml:space="preserve"> </w:t>
      </w:r>
      <w:r>
        <w:rPr>
          <w:iCs/>
          <w:i/>
        </w:rPr>
        <w:t xml:space="preserve">“</w:t>
      </w:r>
      <w:r>
        <w:rPr>
          <w:iCs/>
          <w:i/>
        </w:rPr>
        <w:t xml:space="preserve">I,</w:t>
      </w:r>
      <w:r>
        <w:rPr>
          <w:iCs/>
          <w:i/>
        </w:rPr>
        <w:t xml:space="preserve">”</w:t>
      </w:r>
      <w:r>
        <w:rPr>
          <w:iCs/>
          <w:i/>
        </w:rPr>
        <w:t xml:space="preserve"> </w:t>
      </w:r>
      <w:r>
        <w:rPr>
          <w:iCs/>
          <w:i/>
        </w:rPr>
        <w:t xml:space="preserve">what part of you is speaking, body, mind, or something deeper?</w:t>
      </w:r>
    </w:p>
    <w:p>
      <w:pPr>
        <w:pStyle w:val="BodyText"/>
      </w:pPr>
      <w:r>
        <w:t xml:space="preserve">We first need to establish what it means to say the soul exists at all.</w:t>
      </w:r>
    </w:p>
    <w:bookmarkEnd w:id="63"/>
    <w:bookmarkStart w:id="75" w:name="the-reality-of-the-human-soul"/>
    <w:p>
      <w:pPr>
        <w:pStyle w:val="Heading2"/>
      </w:pPr>
      <w:r>
        <w:t xml:space="preserve">2.2 The Reality of the Human Soul</w:t>
      </w:r>
    </w:p>
    <w:p>
      <w:pPr>
        <w:pStyle w:val="FirstParagraph"/>
      </w:pPr>
      <w:r>
        <w:t xml:space="preserve">The first belief is the fact that the human soul exists and is real. All living things have a soul, but the human soul is distinct among humans. The human soul is capable of self-awareness, moral choice, and a conscience which can turn towards God.</w:t>
      </w:r>
    </w:p>
    <w:p>
      <w:pPr>
        <w:pStyle w:val="BodyText"/>
      </w:pPr>
      <w:r>
        <w:t xml:space="preserve">The human soul in its form did not eternally pre-exist but was created by God, uniquely for each individual. Bahá’u’lláh says, simply, that we are created from water.</w:t>
      </w:r>
      <w:r>
        <w:rPr>
          <w:rStyle w:val="FootnoteReference"/>
        </w:rPr>
        <w:footnoteReference w:id="64"/>
      </w:r>
      <w:r>
        <w:t xml:space="preserve"> </w:t>
      </w:r>
      <w:r>
        <w:t xml:space="preserve">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65"/>
      </w:r>
      <w:r>
        <w:t xml:space="preserve"> </w:t>
      </w:r>
      <w:r>
        <w:t xml:space="preserve">He also describes various kinds of water used in the creation of spirit, soul, and body in the same tablet. Bahá’u’lláh describes the water of semen as being pure, not something itself which needs purified.</w:t>
      </w:r>
      <w:r>
        <w:rPr>
          <w:rStyle w:val="FootnoteReference"/>
        </w:rPr>
        <w:footnoteReference w:id="66"/>
      </w:r>
      <w:r>
        <w:t xml:space="preserve"> </w:t>
      </w:r>
      <w:r>
        <w:t xml:space="preserve">Water, regardless of the source, is the foundation of all life.</w:t>
      </w:r>
    </w:p>
    <w:p>
      <w:pPr>
        <w:pStyle w:val="BodyText"/>
      </w:pPr>
      <w:r>
        <w:t xml:space="preserve">Bahá’u’lláh says that we are brought to life with a spirit from God</w:t>
      </w:r>
      <w:r>
        <w:rPr>
          <w:rStyle w:val="FootnoteReference"/>
        </w:rPr>
        <w:footnoteReference w:id="67"/>
      </w:r>
      <w:r>
        <w:t xml:space="preserve">, through the divine breath.</w:t>
      </w:r>
      <w:r>
        <w:rPr>
          <w:rStyle w:val="FootnoteReference"/>
        </w:rPr>
        <w:footnoteReference w:id="68"/>
      </w:r>
      <w:r>
        <w:t xml:space="preserve"> </w:t>
      </w:r>
      <w:r>
        <w:t xml:space="preserve">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the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69"/>
      </w:r>
      <w:r>
        <w:t xml:space="preserve"> </w:t>
      </w:r>
      <w:r>
        <w:t xml:space="preserve">The soul is not created at the moment of conception, because it does require the body to be the vessel and for its elements to reach a stage of maturity. The body is the soul’s womb. Bahá’u’lláh does not define exactly when this occurs, but this could occur during embryonic or fetal development.</w:t>
      </w:r>
    </w:p>
    <w:p>
      <w:pPr>
        <w:pStyle w:val="BodyText"/>
      </w:pPr>
      <w:r>
        <w:t xml:space="preserve">The human soul is the innermost part of ourselves. The human soul provides the</w:t>
      </w:r>
      <w:r>
        <w:t xml:space="preserve"> </w:t>
      </w:r>
      <w:r>
        <w:t xml:space="preserve">“</w:t>
      </w:r>
      <w:r>
        <w:t xml:space="preserve">direction of the spirit towards one orientation over others.</w:t>
      </w:r>
      <w:r>
        <w:t xml:space="preserve">”</w:t>
      </w:r>
      <w:r>
        <w:rPr>
          <w:rStyle w:val="FootnoteReference"/>
        </w:rPr>
        <w:footnoteReference w:id="70"/>
      </w:r>
      <w:r>
        <w:t xml:space="preserve"> </w:t>
      </w:r>
      <w:r>
        <w:t xml:space="preserve">The soul can be ignited by the fire of the love of God or by one’s own whim. This expresses that the soul itself has free will. Despite God’s names and attributes of power and knowledge, God has imparted to everything made of spirit, and every soul within it, the freedom to move as it wishes, according to its temperament and direction.</w:t>
      </w:r>
    </w:p>
    <w:p>
      <w:pPr>
        <w:pStyle w:val="BodyText"/>
      </w:pPr>
      <w:r>
        <w:t xml:space="preserve">Bahá’u’lláh expresses that all souls, whether in animals or in humans, and all humans are signs of the divine reality.</w:t>
      </w:r>
      <w:r>
        <w:rPr>
          <w:rStyle w:val="FootnoteReference"/>
        </w:rPr>
        <w:footnoteReference w:id="71"/>
      </w:r>
      <w:r>
        <w:t xml:space="preserve"> </w:t>
      </w:r>
      <w:r>
        <w:t xml:space="preserve">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72"/>
      </w:r>
      <w:r>
        <w:t xml:space="preserve"> </w:t>
      </w:r>
      <w:r>
        <w:t xml:space="preserve">The names and attributes are manifested in the human soul.</w:t>
      </w:r>
      <w:r>
        <w:rPr>
          <w:rStyle w:val="FootnoteReference"/>
        </w:rPr>
        <w:footnoteReference w:id="73"/>
      </w:r>
      <w:r>
        <w:t xml:space="preserve"> </w:t>
      </w:r>
      <w:r>
        <w:t xml:space="preserve">This mirrorship is a way to recognize God within us.</w:t>
      </w:r>
      <w:r>
        <w:rPr>
          <w:rStyle w:val="FootnoteReference"/>
        </w:rPr>
        <w:footnoteReference w:id="74"/>
      </w:r>
      <w:r>
        <w:t xml:space="preserve"> </w:t>
      </w:r>
      <w:r>
        <w:t xml:space="preserve">These manifestations of signs can occur in the same way God’s names and attributes can also be believed in, perhaps in stages or through periods of continued realization.</w:t>
      </w:r>
    </w:p>
    <w:p>
      <w:pPr>
        <w:pStyle w:val="BodyText"/>
      </w:pPr>
      <w:r>
        <w:rPr>
          <w:iCs/>
          <w:i/>
        </w:rPr>
        <w:t xml:space="preserve">Reflection: What makes you irreplaceable, even if no one else can see it?</w:t>
      </w:r>
    </w:p>
    <w:p>
      <w:pPr>
        <w:pStyle w:val="BodyText"/>
      </w:pPr>
      <w:r>
        <w:t xml:space="preserve">From existence, we can move to the soul’s distinct qualities and capacities.</w:t>
      </w:r>
    </w:p>
    <w:bookmarkEnd w:id="75"/>
    <w:bookmarkStart w:id="83" w:name="the-unique-nature-of-the-soul"/>
    <w:p>
      <w:pPr>
        <w:pStyle w:val="Heading2"/>
      </w:pPr>
      <w:r>
        <w:t xml:space="preserve">2.3 The Unique Nature of the Soul</w:t>
      </w:r>
    </w:p>
    <w:p>
      <w:pPr>
        <w:pStyle w:val="FirstParagraph"/>
      </w:pPr>
      <w:r>
        <w:t xml:space="preserve">Bahá’u’lláh describes the body as being a temple, and the collection of all people as being temples of humankind.</w:t>
      </w:r>
      <w:r>
        <w:rPr>
          <w:rStyle w:val="FootnoteReference"/>
        </w:rPr>
        <w:footnoteReference w:id="76"/>
      </w:r>
      <w:r>
        <w:t xml:space="preserve"> </w:t>
      </w:r>
      <w:r>
        <w:t xml:space="preserve">The figurative heart serves as a malleable lens within the body that serves to perceive divine truth. This helps a person with receptivity to God, which in turn helps a human soul determine its destiny and spiritual path.</w:t>
      </w:r>
    </w:p>
    <w:p>
      <w:pPr>
        <w:pStyle w:val="BodyText"/>
      </w:pPr>
      <w:r>
        <w:t xml:space="preserve">The Súríy-i-Haykal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the expression of divine attributes.</w:t>
      </w:r>
    </w:p>
    <w:p>
      <w:pPr>
        <w:pStyle w:val="BodyText"/>
      </w:pPr>
      <w:r>
        <w:t xml:space="preserve">The human soul is capable of having an exalted and noble station.</w:t>
      </w:r>
      <w:r>
        <w:rPr>
          <w:rStyle w:val="FootnoteReference"/>
        </w:rPr>
        <w:footnoteReference w:id="77"/>
      </w:r>
      <w:r>
        <w:t xml:space="preserve"> </w:t>
      </w:r>
      <w:r>
        <w:t xml:space="preserve">There are various stations and ranks a soul is capable of achieving. The soul itself was born noble</w:t>
      </w:r>
      <w:r>
        <w:rPr>
          <w:rStyle w:val="FootnoteReference"/>
        </w:rPr>
        <w:footnoteReference w:id="78"/>
      </w:r>
      <w:r>
        <w:t xml:space="preserve"> </w:t>
      </w:r>
      <w:r>
        <w:t xml:space="preserve">but requires effort to remain so by turning one’s sight inward. There is no higher station than a person bearing witness to God.</w:t>
      </w:r>
      <w:r>
        <w:rPr>
          <w:rStyle w:val="FootnoteReference"/>
        </w:rPr>
        <w:footnoteReference w:id="79"/>
      </w:r>
      <w:r>
        <w:t xml:space="preserve"> </w:t>
      </w:r>
      <w:r>
        <w:t xml:space="preserve">The human soul’s natural station is higher than that of animals, but it can descend to the level of an animal’s soul if it is neglected.</w:t>
      </w:r>
      <w:r>
        <w:rPr>
          <w:rStyle w:val="FootnoteReference"/>
        </w:rPr>
        <w:footnoteReference w:id="80"/>
      </w:r>
    </w:p>
    <w:p>
      <w:pPr>
        <w:pStyle w:val="BodyText"/>
      </w:pPr>
      <w:r>
        <w:t xml:space="preserve">Each person and each human soul has its own capacity.</w:t>
      </w:r>
      <w:r>
        <w:rPr>
          <w:rStyle w:val="FootnoteReference"/>
        </w:rPr>
        <w:footnoteReference w:id="81"/>
      </w:r>
      <w:r>
        <w:t xml:space="preserve"> </w:t>
      </w:r>
      <w:r>
        <w:t xml:space="preserve">Not every person’s soul will express the divine attributes and names equally or in the same exact way. They are expressed according to one’s capacity.</w:t>
      </w:r>
      <w:r>
        <w:rPr>
          <w:rStyle w:val="FootnoteReference"/>
        </w:rPr>
        <w:footnoteReference w:id="82"/>
      </w:r>
      <w:r>
        <w:t xml:space="preserve"> </w:t>
      </w:r>
      <w:r>
        <w:t xml:space="preserve">This means every soul may have its own distinct strengths and weaknesses, bound by the human temple and its position in time and space. These different combinations of capacity, reflections of divine names and attributes, and effects of the body ensure that every soul is distinct, much like the iris of the eye or the lines of the palm of the hand.</w:t>
      </w:r>
    </w:p>
    <w:p>
      <w:pPr>
        <w:pStyle w:val="BodyText"/>
      </w:pPr>
      <w:r>
        <w:rPr>
          <w:iCs/>
          <w:i/>
        </w:rPr>
        <w:t xml:space="preserve">Reflection: What inner habit most often steals your freedom, fear, suspicion, or pride?</w:t>
      </w:r>
    </w:p>
    <w:p>
      <w:pPr>
        <w:pStyle w:val="BodyText"/>
      </w:pPr>
      <w:r>
        <w:t xml:space="preserve">Once the soul’s potential is clear, we can be honest about the conflicts that dim it.</w:t>
      </w:r>
    </w:p>
    <w:bookmarkEnd w:id="83"/>
    <w:bookmarkStart w:id="89" w:name="the-inner-struggles-of-the-soul"/>
    <w:p>
      <w:pPr>
        <w:pStyle w:val="Heading2"/>
      </w:pPr>
      <w:r>
        <w:t xml:space="preserve">2.4 The Inner Struggles of the Soul</w:t>
      </w:r>
    </w:p>
    <w:p>
      <w:pPr>
        <w:pStyle w:val="FirstParagraph"/>
      </w:pPr>
      <w:r>
        <w:t xml:space="preserve">Bahá’u’lláh describes a suspicious soul</w:t>
      </w:r>
      <w:r>
        <w:rPr>
          <w:rStyle w:val="FootnoteReference"/>
        </w:rPr>
        <w:footnoteReference w:id="84"/>
      </w:r>
      <w:r>
        <w:t xml:space="preserve"> </w:t>
      </w:r>
      <w:r>
        <w:t xml:space="preserve">as an opposition to one who uses reason. This suggests that the soul and reason are meant to be allies. When we are heedless or suspicious, we aren’t just losing faith; we are losing the proper use of our intellect. We begin to use our minds to build walls (idols) instead of bridges to the truth.</w:t>
      </w:r>
    </w:p>
    <w:p>
      <w:pPr>
        <w:pStyle w:val="BodyText"/>
      </w:pPr>
      <w:r>
        <w:t xml:space="preserve">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or understand the potential wisdom in difficult situations, and, due to this, lack discipline to truly submit to God.</w:t>
      </w:r>
    </w:p>
    <w:p>
      <w:pPr>
        <w:pStyle w:val="BodyText"/>
      </w:pPr>
      <w:r>
        <w:t xml:space="preserve">This lack of discipline could lead to self-destructive acts and habits, which can lead a person further down the road of heedlessness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have other beliefs and actions. With the example of externally induced experiences, the mirror of the soul isn’t reflecting the light of God; it is merely caught in the glare of its own internal chemistry.</w:t>
      </w:r>
    </w:p>
    <w:p>
      <w:pPr>
        <w:pStyle w:val="BodyText"/>
      </w:pPr>
      <w:r>
        <w:t xml:space="preserve">Bahá’u’lláh teaches that these suspicions act as idols.</w:t>
      </w:r>
      <w:r>
        <w:rPr>
          <w:rStyle w:val="FootnoteReference"/>
        </w:rPr>
        <w:footnoteReference w:id="85"/>
      </w:r>
      <w:r>
        <w:t xml:space="preserve"> </w:t>
      </w:r>
      <w:r>
        <w:t xml:space="preserve">These idols are the cause of humiliation and loss and keep a soul from ascending to the station they are rightful to inherit and claim. However, the Kitáb-i-Aqdas does include the most simple perspective to help alleviate these inner struggles the soul may face.</w:t>
      </w:r>
    </w:p>
    <w:p>
      <w:pPr>
        <w:pStyle w:val="BodyText"/>
      </w:pPr>
      <w:r>
        <w:t xml:space="preserve">Bahá’u’lláh says all are servants.</w:t>
      </w:r>
      <w:r>
        <w:rPr>
          <w:rStyle w:val="FootnoteReference"/>
        </w:rPr>
        <w:footnoteReference w:id="86"/>
      </w:r>
      <w:r>
        <w:t xml:space="preserve"> </w:t>
      </w:r>
      <w:r>
        <w:t xml:space="preserve">The soul’s fundamental purpose is in relation to the divine. All souls are servants. This is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87"/>
      </w:r>
      <w:r>
        <w:t xml:space="preserve"> </w:t>
      </w:r>
      <w:r>
        <w:t xml:space="preserve">and reveals our true human rank.</w:t>
      </w:r>
      <w:r>
        <w:rPr>
          <w:rStyle w:val="FootnoteReference"/>
        </w:rPr>
        <w:footnoteReference w:id="88"/>
      </w:r>
    </w:p>
    <w:p>
      <w:pPr>
        <w:pStyle w:val="BodyText"/>
      </w:pPr>
      <w:r>
        <w:rPr>
          <w:iCs/>
          <w:i/>
        </w:rPr>
        <w:t xml:space="preserve">Reflection: In your recent moments of doubt, was your reason acting as a lamp to find the truth, or an idol to justify your own whim?</w:t>
      </w:r>
    </w:p>
    <w:p>
      <w:pPr>
        <w:pStyle w:val="BodyText"/>
      </w:pPr>
      <w:r>
        <w:t xml:space="preserve">From struggle, the chapter turns to the question every soul eventually faces: its departure and destination.</w:t>
      </w:r>
    </w:p>
    <w:bookmarkEnd w:id="89"/>
    <w:bookmarkStart w:id="95" w:name="the-fate-of-the-soul"/>
    <w:p>
      <w:pPr>
        <w:pStyle w:val="Heading2"/>
      </w:pPr>
      <w:r>
        <w:t xml:space="preserve">2.5 The Fate of the Soul</w:t>
      </w:r>
    </w:p>
    <w:p>
      <w:pPr>
        <w:pStyle w:val="FirstParagraph"/>
      </w:pPr>
      <w:r>
        <w:t xml:space="preserve">One matter which is not a matter of belief is the fact that death of the body is inevitable. Death is the singular inescapable certainty of the material condition. It is also absolutely true that once the body has died, the energy which used to be within the body is no longer present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pPr>
        <w:pStyle w:val="BodyText"/>
      </w:pPr>
      <w:r>
        <w:t xml:space="preserve">Bahá’u’lláh reminds us we will return to dust.</w:t>
      </w:r>
      <w:r>
        <w:rPr>
          <w:rStyle w:val="FootnoteReference"/>
        </w:rPr>
        <w:footnoteReference w:id="90"/>
      </w:r>
      <w:r>
        <w:t xml:space="preserve"> </w:t>
      </w:r>
      <w:r>
        <w:t xml:space="preserve">The temple of the human body will end. The human soul will take flight.</w:t>
      </w:r>
      <w:r>
        <w:rPr>
          <w:rStyle w:val="FootnoteReference"/>
        </w:rPr>
        <w:footnoteReference w:id="91"/>
      </w:r>
      <w:r>
        <w:t xml:space="preserve"> </w:t>
      </w:r>
      <w:r>
        <w:t xml:space="preserve">Taking flight symbolizes the soul’s transcendence over material life, to a real place higher than where it was. The soul is also capable of transcending the human body even before the body has perished, if a person so desires and believes.</w:t>
      </w:r>
      <w:r>
        <w:t xml:space="preserve"> </w:t>
      </w:r>
      <w:r>
        <w:t xml:space="preserve">“</w:t>
      </w:r>
      <w:r>
        <w:t xml:space="preserve">If you are a person of mystery and longing, take flight with the wings of the saints’ aspirations so that you may see the secrets of the beloved and reach the light of the loved one.</w:t>
      </w:r>
      <w:r>
        <w:t xml:space="preserve"> </w:t>
      </w:r>
      <w:r>
        <w:t xml:space="preserve">‘</w:t>
      </w:r>
      <w:r>
        <w:t xml:space="preserve">Indeed we belong to Allah, and indeed to Him we will return.</w:t>
      </w:r>
      <w:r>
        <w:t xml:space="preserve">’</w:t>
      </w:r>
      <w:r>
        <w:t xml:space="preserve">”</w:t>
      </w:r>
      <w:r>
        <w:rPr>
          <w:rStyle w:val="FootnoteReference"/>
        </w:rPr>
        <w:footnoteReference w:id="92"/>
      </w:r>
      <w:r>
        <w:t xml:space="preserve"> </w:t>
      </w:r>
      <w:r>
        <w:t xml:space="preserve">Bahá’u’lláh throughout His teachings reminds us of the importance of the soul being allowed to take flight while the body is alive, while constantly being aware of the inevitable flight when the body no longer exists. The first is not inevitable but desired by God, and the second is inevitable and desired for a believer by God. A suspicious soul might show fear for the second flight, fearing the end of everything. A soul in belief is prepared for flight. A soul prepared for flight is a liberated soul.</w:t>
      </w:r>
    </w:p>
    <w:p>
      <w:pPr>
        <w:pStyle w:val="BodyText"/>
      </w:pPr>
      <w:r>
        <w:t xml:space="preserve">The desired journey of the human soul is onboard the Crimson Ark.</w:t>
      </w:r>
      <w:r>
        <w:rPr>
          <w:rStyle w:val="FootnoteReference"/>
        </w:rPr>
        <w:footnoteReference w:id="93"/>
      </w:r>
      <w:r>
        <w:t xml:space="preserve"> </w:t>
      </w:r>
      <w:r>
        <w:t xml:space="preserve">Crimson often represents the blood from sacrifice and the victory of divine authority. The Crimson Ark represents salvation and refuge, much like how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also the salvation of others.</w:t>
      </w:r>
      <w:r>
        <w:rPr>
          <w:rStyle w:val="FootnoteReference"/>
        </w:rPr>
        <w:footnoteReference w:id="94"/>
      </w:r>
      <w:r>
        <w:t xml:space="preserve"> </w:t>
      </w:r>
      <w:r>
        <w:t xml:space="preserve">The fate of the soul requires a belief that other souls deserve salvation. All souls deserve liberation. All souls are capable of transcending the bounds of self and body. All souls are able to take flight.</w:t>
      </w:r>
    </w:p>
    <w:p>
      <w:pPr>
        <w:pStyle w:val="BodyText"/>
      </w:pPr>
      <w:r>
        <w:rPr>
          <w:iCs/>
          <w:i/>
        </w:rPr>
        <w:t xml:space="preserve">Reflection: If death is certain, what would it mean to live as if your soul is preparing for flight?</w:t>
      </w:r>
    </w:p>
    <w:p>
      <w:pPr>
        <w:pStyle w:val="BodyText"/>
      </w:pPr>
      <w:r>
        <w:t xml:space="preserve">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pPr>
        <w:pStyle w:val="BodyText"/>
      </w:pPr>
      <w:r>
        <w:t xml:space="preserve">The next chapter will discuss the potential destinations of the soul, the worlds of God.</w:t>
      </w:r>
    </w:p>
    <w:p>
      <w:r>
        <w:br w:type="page"/>
      </w:r>
    </w:p>
    <w:bookmarkEnd w:id="95"/>
    <w:bookmarkEnd w:id="96"/>
    <w:bookmarkStart w:id="142" w:name="belief-in-the-worlds-of-god"/>
    <w:p>
      <w:pPr>
        <w:pStyle w:val="Heading1"/>
      </w:pPr>
      <w:r>
        <w:t xml:space="preserve">3. Belief in the Worlds of God</w:t>
      </w:r>
    </w:p>
    <w:bookmarkStart w:id="97" w:name="chapter-introduction-2"/>
    <w:p>
      <w:pPr>
        <w:pStyle w:val="Heading2"/>
      </w:pPr>
      <w:r>
        <w:t xml:space="preserve">3.1 Chapter Introduction</w:t>
      </w:r>
    </w:p>
    <w:p>
      <w:pPr>
        <w:pStyle w:val="FirstParagraph"/>
      </w:pPr>
      <w:r>
        <w:t xml:space="preserve">Religious cosmology has always been a subject I have found fascinating. Every culture in the world has a creation story where the world, or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that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belief in the worlds of God. This belief is another foundation upon which the spiritual journey of individuals and our systems of organization rests. Our journey depends on this belief.</w:t>
      </w:r>
    </w:p>
    <w:bookmarkEnd w:id="97"/>
    <w:bookmarkStart w:id="112" w:name="nature-of-the-worlds"/>
    <w:p>
      <w:pPr>
        <w:pStyle w:val="Heading2"/>
      </w:pPr>
      <w:r>
        <w:t xml:space="preserve">3.2 Nature of the Worlds</w:t>
      </w:r>
    </w:p>
    <w:p>
      <w:pPr>
        <w:pStyle w:val="FirstParagraph"/>
      </w:pPr>
      <w:r>
        <w:t xml:space="preserve">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pPr>
        <w:pStyle w:val="BlockText"/>
      </w:pPr>
      <w:r>
        <w:t xml:space="preserve">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pPr>
        <w:pStyle w:val="BlockText"/>
      </w:pPr>
      <w:r>
        <w:t xml:space="preserve">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pPr>
        <w:pStyle w:val="BlockText"/>
      </w:pPr>
      <w:r>
        <w:t xml:space="preserve">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pPr>
        <w:pStyle w:val="FirstParagraph"/>
      </w:pPr>
      <w:r>
        <w:t xml:space="preserve">Bahá’u’lláh says God reigns over all worlds.</w:t>
      </w:r>
      <w:r>
        <w:rPr>
          <w:rStyle w:val="FootnoteReference"/>
        </w:rPr>
        <w:footnoteReference w:id="98"/>
      </w:r>
      <w:r>
        <w:t xml:space="preserve"> </w:t>
      </w:r>
      <w:r>
        <w:t xml:space="preserve">With the Tablet to Vafá above, we can understand that these worlds are infinite in number. Some may view worlds as being planets, but the usage suggests entities such as the universe or a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pPr>
        <w:pStyle w:val="BodyText"/>
      </w:pPr>
      <w:r>
        <w:t xml:space="preserve">This leads to an infinite number of potentialities. As Bahá’u’lláh discusses the existence of spiritual worlds that cannot be expressed by words nor pointed to by signs,</w:t>
      </w:r>
      <w:r>
        <w:rPr>
          <w:rStyle w:val="FootnoteReference"/>
        </w:rPr>
        <w:footnoteReference w:id="99"/>
      </w:r>
      <w:r>
        <w:t xml:space="preserve"> </w:t>
      </w:r>
      <w:r>
        <w:t xml:space="preserve">these worlds could exist in the same location as us, but on a different plane of existence. They could also exist in other locations which we sometimes pass through as Earth is on its own celestial journey, rotating around the Sun, which rotates around the center of the Milky Way Galaxy, which rotates around the center of the universe, which might rotate around something else. We are never in the same spot we once were and most likely will never be in that exact same spot ever again. Our physical world is called the lesser world.</w:t>
      </w:r>
      <w:r>
        <w:rPr>
          <w:rStyle w:val="FootnoteReference"/>
        </w:rPr>
        <w:footnoteReference w:id="100"/>
      </w:r>
      <w:r>
        <w:t xml:space="preserve"> </w:t>
      </w:r>
      <w:r>
        <w:t xml:space="preserve">There is also a greater world.</w:t>
      </w:r>
      <w:r>
        <w:rPr>
          <w:rStyle w:val="FootnoteReference"/>
        </w:rPr>
        <w:footnoteReference w:id="101"/>
      </w:r>
      <w:r>
        <w:t xml:space="preserve"> </w:t>
      </w:r>
      <w:r>
        <w:t xml:space="preserve">In the writings of Bahá’u’lláh, the greater world seems to represent the very structure of existence itself. It is a vast spiritual reality which includes all divine realms.</w:t>
      </w:r>
    </w:p>
    <w:bookmarkStart w:id="106" w:name="kingdoms-within-the-worlds"/>
    <w:p>
      <w:pPr>
        <w:pStyle w:val="Heading3"/>
      </w:pPr>
      <w:r>
        <w:t xml:space="preserve">3.2.1 Kingdoms Within the Worlds</w:t>
      </w:r>
    </w:p>
    <w:p>
      <w:pPr>
        <w:pStyle w:val="FirstParagraph"/>
      </w:pPr>
      <w:r>
        <w:t xml:space="preserve">The Kingdom of Names bears witness that God desires to rule over our hearts.</w:t>
      </w:r>
      <w:r>
        <w:rPr>
          <w:rStyle w:val="FootnoteReference"/>
        </w:rPr>
        <w:footnoteReference w:id="102"/>
      </w:r>
      <w:r>
        <w:t xml:space="preserve"> </w:t>
      </w:r>
      <w:r>
        <w:t xml:space="preserve">This Kingdom of Names is manifested in all worlds, spiritual and lesser. In the lesser world we may be aware of this Kingdom through the various signs, just as we were in learning about God. Every name and attribute is manifested from this Kingdom, and every name and attribute returns to this Kingdom.</w:t>
      </w:r>
      <w:r>
        <w:rPr>
          <w:rStyle w:val="FootnoteReference"/>
        </w:rPr>
        <w:footnoteReference w:id="103"/>
      </w:r>
      <w:r>
        <w:t xml:space="preserve"> </w:t>
      </w:r>
      <w:r>
        <w:t xml:space="preserve">It could also be possible that some of these spiritual worlds solely manifest a single Name. Imagine the possibility that, on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104"/>
      </w:r>
      <w:r>
        <w:t xml:space="preserve"> </w:t>
      </w:r>
      <w:r>
        <w:t xml:space="preserve">exists within all worlds. This kingdom represents God’s sovereignty, one of the names of God. There is also the Kingdom of Command</w:t>
      </w:r>
      <w:r>
        <w:rPr>
          <w:rStyle w:val="FootnoteReference"/>
        </w:rPr>
        <w:footnoteReference w:id="105"/>
      </w:r>
      <w:r>
        <w:t xml:space="preserve">, representing God’s names of Commander, Ordainer, and Fulfiller.</w:t>
      </w:r>
    </w:p>
    <w:bookmarkEnd w:id="106"/>
    <w:bookmarkStart w:id="111" w:name="cities-and-schools-within-the-kingdoms"/>
    <w:p>
      <w:pPr>
        <w:pStyle w:val="Heading3"/>
      </w:pPr>
      <w:r>
        <w:t xml:space="preserve">3.2.2 Cities and Schools Within the Kingdoms</w:t>
      </w:r>
    </w:p>
    <w:p>
      <w:pPr>
        <w:pStyle w:val="FirstParagraph"/>
      </w:pPr>
      <w:r>
        <w:t xml:space="preserve">These Kingdoms have cities of names where the Concourse on High and other dwellers exist.</w:t>
      </w:r>
      <w:r>
        <w:rPr>
          <w:rStyle w:val="FootnoteReference"/>
        </w:rPr>
        <w:footnoteReference w:id="107"/>
      </w:r>
      <w:r>
        <w:t xml:space="preserve"> </w:t>
      </w:r>
      <w:r>
        <w:t xml:space="preserve">If the worlds of God are countless, and God encompasses all names, it would also stand to reason that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pPr>
        <w:pStyle w:val="BodyText"/>
      </w:pPr>
      <w:r>
        <w:t xml:space="preserve">These cities can also represent various stages of the maturation of the soul, such as the City of Love and Rapture.</w:t>
      </w:r>
      <w:r>
        <w:rPr>
          <w:rStyle w:val="FootnoteReference"/>
        </w:rPr>
        <w:footnoteReference w:id="108"/>
      </w:r>
      <w:r>
        <w:t xml:space="preserve"> </w:t>
      </w:r>
      <w:r>
        <w:t xml:space="preserve">Aiding this development are schools within these cities. The School of God is where the Tablets are revealed.</w:t>
      </w:r>
      <w:r>
        <w:rPr>
          <w:rStyle w:val="FootnoteReference"/>
        </w:rPr>
        <w:footnoteReference w:id="109"/>
      </w:r>
      <w:r>
        <w:t xml:space="preserve"> </w:t>
      </w:r>
      <w:r>
        <w:t xml:space="preserve">The School of God predates the creation of the Earth and heavens</w:t>
      </w:r>
      <w:r>
        <w:rPr>
          <w:rStyle w:val="FootnoteReference"/>
        </w:rPr>
        <w:footnoteReference w:id="110"/>
      </w:r>
      <w:r>
        <w:t xml:space="preserve"> </w:t>
      </w:r>
      <w:r>
        <w:t xml:space="preserve">and encompasses all the knowledge God the All-Knowing has. As we experienced in the Chapter 1</w:t>
      </w:r>
      <w:r>
        <w:t xml:space="preserve"> </w:t>
      </w:r>
      <w:r>
        <w:t xml:space="preserve">“</w:t>
      </w:r>
      <w:r>
        <w:t xml:space="preserve">Belief in God</w:t>
      </w:r>
      <w:r>
        <w:t xml:space="preserve">”</w:t>
      </w:r>
      <w:r>
        <w:t xml:space="preserve">,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that a soul can develop to progress along the divine names and attributes. The Kitáb-i-Aqdas mentions the School of Detachment and the School of Meanings and Exposition, while the Kitáb-i-Badí‘ mentions the School of Knowledge.</w:t>
      </w:r>
    </w:p>
    <w:p>
      <w:pPr>
        <w:pStyle w:val="BodyText"/>
      </w:pPr>
      <w:r>
        <w:t xml:space="preserve">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pPr>
        <w:pStyle w:val="BodyText"/>
      </w:pPr>
      <w:r>
        <w:rPr>
          <w:iCs/>
          <w:i/>
        </w:rPr>
        <w:t xml:space="preserve">Reflection: If you imagined your next trial as a lesson in a</w:t>
      </w:r>
      <w:r>
        <w:rPr>
          <w:iCs/>
          <w:i/>
        </w:rPr>
        <w:t xml:space="preserve"> </w:t>
      </w:r>
      <w:r>
        <w:rPr>
          <w:iCs/>
          <w:i/>
        </w:rPr>
        <w:t xml:space="preserve">“</w:t>
      </w:r>
      <w:r>
        <w:rPr>
          <w:iCs/>
          <w:i/>
        </w:rPr>
        <w:t xml:space="preserve">School,</w:t>
      </w:r>
      <w:r>
        <w:rPr>
          <w:iCs/>
          <w:i/>
        </w:rPr>
        <w:t xml:space="preserve">”</w:t>
      </w:r>
      <w:r>
        <w:rPr>
          <w:iCs/>
          <w:i/>
        </w:rPr>
        <w:t xml:space="preserve"> </w:t>
      </w:r>
      <w:r>
        <w:rPr>
          <w:iCs/>
          <w:i/>
        </w:rPr>
        <w:t xml:space="preserve">what virtue would you hope you are being taught?</w:t>
      </w:r>
    </w:p>
    <w:p>
      <w:pPr>
        <w:pStyle w:val="BodyText"/>
      </w:pPr>
      <w:r>
        <w:t xml:space="preserve">With the structure of worlds, kingdoms, cities, and schools in view, we can now ask what all of this is for, and what the soul is meant to become.</w:t>
      </w:r>
    </w:p>
    <w:bookmarkEnd w:id="111"/>
    <w:bookmarkEnd w:id="112"/>
    <w:bookmarkStart w:id="120" w:name="the-souls-purpose-within-these-worlds"/>
    <w:p>
      <w:pPr>
        <w:pStyle w:val="Heading2"/>
      </w:pPr>
      <w:r>
        <w:t xml:space="preserve">3.3 The Soul’s Purpose Within These Worlds</w:t>
      </w:r>
    </w:p>
    <w:p>
      <w:pPr>
        <w:pStyle w:val="FirstParagraph"/>
      </w:pPr>
      <w:r>
        <w:t xml:space="preserve">Belief in the worlds of God is essential to those who believe they have a soul. The purpose of the soul is to find pathways beyond the lesser world, even if at first it is merely a glimpse into the greater world. The Persian Bayán says the soul progresses degree by degree, especially those who ponder upon the realm of the infinite.</w:t>
      </w:r>
      <w:r>
        <w:rPr>
          <w:rStyle w:val="FootnoteReference"/>
        </w:rPr>
        <w:footnoteReference w:id="113"/>
      </w:r>
      <w:r>
        <w:t xml:space="preserve"> </w:t>
      </w:r>
      <w:r>
        <w:t xml:space="preserve">As the soul is designed to reflect the divine names of God, the greater worlds manifest the divine names more purely than in the lesser world. The soul, though even when bound by the temple of the body, is able to experience the greater world. Think of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pPr>
        <w:pStyle w:val="BodyText"/>
      </w:pPr>
      <w:r>
        <w:t xml:space="preserve">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pPr>
        <w:pStyle w:val="BodyText"/>
      </w:pPr>
      <w:r>
        <w:t xml:space="preserve">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114"/>
      </w:r>
      <w:r>
        <w:t xml:space="preserve"> </w:t>
      </w:r>
      <w:r>
        <w:t xml:space="preserve">and the Heaven of Revelation.</w:t>
      </w:r>
      <w:r>
        <w:rPr>
          <w:rStyle w:val="FootnoteReference"/>
        </w:rPr>
        <w:footnoteReference w:id="115"/>
      </w:r>
      <w:r>
        <w:t xml:space="preserve"> </w:t>
      </w:r>
      <w:r>
        <w:t xml:space="preserve">Bahá’u’lláh says</w:t>
      </w:r>
      <w:r>
        <w:t xml:space="preserve"> </w:t>
      </w:r>
      <w:r>
        <w:t xml:space="preserve">“</w:t>
      </w:r>
      <w:r>
        <w:t xml:space="preserve">Paradise, it is a reality beyond doubt, and today in this world, it is my Love and My pleasure. Whoever attains it, God will assist them in this world, and after death, He will admit them into a Paradise whose expanse is like that of the heavens and the earth.</w:t>
      </w:r>
      <w:r>
        <w:t xml:space="preserve">”</w:t>
      </w:r>
      <w:r>
        <w:rPr>
          <w:rStyle w:val="FootnoteReference"/>
        </w:rPr>
        <w:footnoteReference w:id="116"/>
      </w:r>
      <w:r>
        <w:t xml:space="preserve"> </w:t>
      </w:r>
      <w:r>
        <w:t xml:space="preserve">Paradise is also</w:t>
      </w:r>
      <w:r>
        <w:t xml:space="preserve"> </w:t>
      </w:r>
      <w:r>
        <w:t xml:space="preserve">“</w:t>
      </w:r>
      <w:r>
        <w:t xml:space="preserve">my Love, your heavenly home, reunion with me.</w:t>
      </w:r>
      <w:r>
        <w:t xml:space="preserve">”</w:t>
      </w:r>
      <w:r>
        <w:rPr>
          <w:rStyle w:val="FootnoteReference"/>
        </w:rPr>
        <w:footnoteReference w:id="117"/>
      </w:r>
      <w:r>
        <w:t xml:space="preserve"> </w:t>
      </w:r>
      <w:r>
        <w:t xml:space="preserve">The purpose of the soul is reunion with God in the heavenly paradise.</w:t>
      </w:r>
    </w:p>
    <w:p>
      <w:pPr>
        <w:pStyle w:val="BodyText"/>
      </w:pPr>
      <w:r>
        <w:t xml:space="preserve">A person who is a seeker and goes on a journey similar to the one described by Bahá’u’lláh in the Seven Valleys can attain heaven even while on earth. It is the condition of the soul which is near to God. The beautiful thing which I personally love about this cosmology is that even if I do not attain this station now, I will forever have opportunities after my body gives way. The condition of being distant from God, also known as Hell, is not a condition which lasts forever. I would highly recommend reading the Persian Bayán, Váḥid 2, Gate 16 for a wonderful sermon about paradise and hell.</w:t>
      </w:r>
    </w:p>
    <w:p>
      <w:pPr>
        <w:pStyle w:val="BodyText"/>
      </w:pPr>
      <w:r>
        <w:t xml:space="preserve">The Kitáb-i-Aqdas does teach a powerful tool a person can use to elevate their own soul and that of others, reciting the Words of God in a melodious tone.</w:t>
      </w:r>
      <w:r>
        <w:rPr>
          <w:rStyle w:val="FootnoteReference"/>
        </w:rPr>
        <w:footnoteReference w:id="118"/>
      </w:r>
      <w:r>
        <w:t xml:space="preserve"> </w:t>
      </w:r>
      <w:r>
        <w:t xml:space="preserve">This practice mimics the melodies which come from the greater worlds. Bahá’u’lláh often describes these melodies as from the</w:t>
      </w:r>
      <w:r>
        <w:t xml:space="preserve"> </w:t>
      </w:r>
      <w:r>
        <w:t xml:space="preserve">“</w:t>
      </w:r>
      <w:r>
        <w:t xml:space="preserve">nightingales of the Supreme Paradise.</w:t>
      </w:r>
      <w:r>
        <w:t xml:space="preserve">”</w:t>
      </w:r>
      <w:r>
        <w:rPr>
          <w:rStyle w:val="FootnoteReference"/>
        </w:rPr>
        <w:footnoteReference w:id="119"/>
      </w:r>
      <w:r>
        <w:t xml:space="preserve"> </w:t>
      </w:r>
      <w:r>
        <w:t xml:space="preserve">It can also be that the Words of God, no matter who sings them, are also heaven.</w:t>
      </w:r>
    </w:p>
    <w:p>
      <w:pPr>
        <w:pStyle w:val="BodyText"/>
      </w:pPr>
      <w:r>
        <w:t xml:space="preserve">Reflection: If Heaven can be a condition of nearness, what would</w:t>
      </w:r>
      <w:r>
        <w:t xml:space="preserve"> </w:t>
      </w:r>
      <w:r>
        <w:t xml:space="preserve">“</w:t>
      </w:r>
      <w:r>
        <w:t xml:space="preserve">one step nearer</w:t>
      </w:r>
      <w:r>
        <w:t xml:space="preserve">”</w:t>
      </w:r>
      <w:r>
        <w:t xml:space="preserve"> </w:t>
      </w:r>
      <w:r>
        <w:t xml:space="preserve">look like in your inner life today?</w:t>
      </w:r>
    </w:p>
    <w:p>
      <w:pPr>
        <w:pStyle w:val="BodyText"/>
      </w:pPr>
      <w:r>
        <w:t xml:space="preserve">To see how the worlds of God are not empty space but living reality, we now turn to who dwells in them and how they aid the soul.</w:t>
      </w:r>
    </w:p>
    <w:bookmarkEnd w:id="120"/>
    <w:bookmarkStart w:id="131" w:name="inhabitants-of-the-greater-worlds"/>
    <w:p>
      <w:pPr>
        <w:pStyle w:val="Heading2"/>
      </w:pPr>
      <w:r>
        <w:t xml:space="preserve">3.4 Inhabitants of the Greater Worlds</w:t>
      </w:r>
    </w:p>
    <w:p>
      <w:pPr>
        <w:pStyle w:val="FirstParagraph"/>
      </w:pPr>
      <w:r>
        <w:t xml:space="preserve">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121"/>
      </w:r>
      <w:r>
        <w:t xml:space="preserve"> </w:t>
      </w:r>
      <w:r>
        <w:t xml:space="preserve">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122"/>
      </w:r>
      <w:r>
        <w:t xml:space="preserve"> </w:t>
      </w:r>
      <w:r>
        <w:t xml:space="preserve">They lament the fire of hatred</w:t>
      </w:r>
      <w:r>
        <w:rPr>
          <w:rStyle w:val="FootnoteReference"/>
        </w:rPr>
        <w:footnoteReference w:id="123"/>
      </w:r>
      <w:r>
        <w:t xml:space="preserve"> </w:t>
      </w:r>
      <w:r>
        <w:t xml:space="preserve">and have submitted to the Cause of God.</w:t>
      </w:r>
      <w:r>
        <w:rPr>
          <w:rStyle w:val="FootnoteReference"/>
        </w:rPr>
        <w:footnoteReference w:id="124"/>
      </w:r>
    </w:p>
    <w:p>
      <w:pPr>
        <w:pStyle w:val="BodyText"/>
      </w:pPr>
      <w:r>
        <w:t xml:space="preserve">The Hosts of the Celestial realm and the nearest angels will aid anyone who rises to assist the Cause of God.</w:t>
      </w:r>
      <w:r>
        <w:rPr>
          <w:rStyle w:val="FootnoteReference"/>
        </w:rPr>
        <w:footnoteReference w:id="125"/>
      </w:r>
      <w:r>
        <w:t xml:space="preserve"> </w:t>
      </w:r>
      <w:r>
        <w:t xml:space="preserve">Angels are celestial beings whose purpose is to do God’s will. They send His Tablets</w:t>
      </w:r>
      <w:r>
        <w:rPr>
          <w:rStyle w:val="FootnoteReference"/>
        </w:rPr>
        <w:footnoteReference w:id="126"/>
      </w:r>
      <w:r>
        <w:t xml:space="preserve"> </w:t>
      </w:r>
      <w:r>
        <w:t xml:space="preserve">and are able to traverse the greater worlds into our lesser world.</w:t>
      </w:r>
      <w:r>
        <w:rPr>
          <w:rStyle w:val="FootnoteReference"/>
        </w:rPr>
        <w:footnoteReference w:id="127"/>
      </w:r>
      <w:r>
        <w:t xml:space="preserve"> </w:t>
      </w:r>
      <w:r>
        <w:t xml:space="preserve">They will announce with a trumpet the arrival of a Messenger with a Message.</w:t>
      </w:r>
      <w:r>
        <w:rPr>
          <w:rStyle w:val="FootnoteReference"/>
        </w:rPr>
        <w:footnoteReference w:id="128"/>
      </w:r>
      <w:r>
        <w:t xml:space="preserve"> </w:t>
      </w:r>
      <w:r>
        <w:t xml:space="preserve">Angels also announce the death of a person and bring about wrath and punishment for a soul which had not progressed.</w:t>
      </w:r>
      <w:r>
        <w:rPr>
          <w:rStyle w:val="FootnoteReference"/>
        </w:rPr>
        <w:footnoteReference w:id="129"/>
      </w:r>
    </w:p>
    <w:p>
      <w:pPr>
        <w:pStyle w:val="BodyText"/>
      </w:pPr>
      <w:r>
        <w:t xml:space="preserve">A soul which has been purified can achieve a station as angels.</w:t>
      </w:r>
      <w:r>
        <w:rPr>
          <w:rStyle w:val="FootnoteReference"/>
        </w:rPr>
        <w:footnoteReference w:id="130"/>
      </w:r>
      <w:r>
        <w:t xml:space="preserve"> </w:t>
      </w:r>
      <w:r>
        <w:t xml:space="preserve">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that we are not alone on our spiritual journeys. God has devoted an incredible amount of energy within creation to help us and sustain us through our good times and bad times.</w:t>
      </w:r>
    </w:p>
    <w:p>
      <w:pPr>
        <w:pStyle w:val="BodyText"/>
      </w:pPr>
      <w:r>
        <w:t xml:space="preserve">As you can see, there is this unity between all of creation. What we do today has an effect with the beings of the greater worlds, not just here in our physical world. What happens in the greater worlds can also have an effect here in our lesser world. We are all entangled. The best way to understand this interwoven unity, this entanglement, is through the Sidratu’l-Muntahá.</w:t>
      </w:r>
    </w:p>
    <w:p>
      <w:pPr>
        <w:pStyle w:val="BodyText"/>
      </w:pPr>
      <w:r>
        <w:rPr>
          <w:iCs/>
          <w:i/>
        </w:rPr>
        <w:t xml:space="preserve">Reflection: If unseen beings can aid a soul, what kind of help would you be willing to receive without controlling how it arrives?</w:t>
      </w:r>
    </w:p>
    <w:p>
      <w:pPr>
        <w:pStyle w:val="BodyText"/>
      </w:pPr>
      <w:r>
        <w:t xml:space="preserve">To make sense of how the worlds touch, and how divine assistance can cross their boundary, we now turn to the image of the Sidratu’l-Muntahá.</w:t>
      </w:r>
    </w:p>
    <w:bookmarkEnd w:id="131"/>
    <w:bookmarkStart w:id="140" w:name="sidratul-muntahá"/>
    <w:p>
      <w:pPr>
        <w:pStyle w:val="Heading2"/>
      </w:pPr>
      <w:r>
        <w:t xml:space="preserve">3.5 Sidratu’l-Muntahá</w:t>
      </w:r>
    </w:p>
    <w:p>
      <w:pPr>
        <w:pStyle w:val="FirstParagraph"/>
      </w:pPr>
      <w:r>
        <w:t xml:space="preserve">The Sidratu’l-Muntahá means the Tree of the Farthest Extent. It is also known as the Divine Lote Tree. If we imagine that we are looking out from a high mountain, or maybe from a beach looking out to the ocean, we can see where the land and the sky meet. No matter how far on Earth we journey, we could never discover the physical point where the Earth and sky actually meet. The Sidratu’l-Muntahá represents the point where the lesser world and the greater worlds meet. It is not something you can physically reach, but it is the furthest extent our terrestrial knowledge will get us before we need our spiritual knowledge to progress. The Kitáb-i-Aqdas says,</w:t>
      </w:r>
      <w:r>
        <w:t xml:space="preserve"> </w:t>
      </w:r>
      <w:r>
        <w:t xml:space="preserve">“</w:t>
      </w:r>
      <w:r>
        <w:t xml:space="preserve">the Lote-Tree of the farthest limit proclaims:</w:t>
      </w:r>
      <w:r>
        <w:t xml:space="preserve"> </w:t>
      </w:r>
      <w:r>
        <w:t xml:space="preserve">‘</w:t>
      </w:r>
      <w:r>
        <w:t xml:space="preserve">There is no God but Me</w:t>
      </w:r>
      <w:r>
        <w:t xml:space="preserve">’</w:t>
      </w:r>
      <w:r>
        <w:t xml:space="preserve">”</w:t>
      </w:r>
      <w:r>
        <w:rPr>
          <w:rStyle w:val="FootnoteReference"/>
        </w:rPr>
        <w:footnoteReference w:id="132"/>
      </w:r>
      <w:r>
        <w:t xml:space="preserve">.</w:t>
      </w:r>
    </w:p>
    <w:p>
      <w:pPr>
        <w:pStyle w:val="BodyText"/>
      </w:pPr>
      <w:r>
        <w:t xml:space="preserve">The Sidratu’l-Muntahá can call out and proclaim. It has branches which provide shade and salvation.</w:t>
      </w:r>
      <w:r>
        <w:rPr>
          <w:rStyle w:val="FootnoteReference"/>
        </w:rPr>
        <w:footnoteReference w:id="133"/>
      </w:r>
      <w:r>
        <w:t xml:space="preserve"> </w:t>
      </w:r>
      <w:r>
        <w:t xml:space="preserve">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134"/>
      </w:r>
      <w:r>
        <w:t xml:space="preserve"> </w:t>
      </w:r>
      <w:r>
        <w:t xml:space="preserve">is also a celestial being often known as the Holy Spirit, or in Bahá’u’lláh’s words the Holy Maiden. Bahá’u’lláh describes her this way:</w:t>
      </w:r>
    </w:p>
    <w:p>
      <w:pPr>
        <w:pStyle w:val="BlockText"/>
      </w:pPr>
      <w:r>
        <w:t xml:space="preserve">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135"/>
      </w:r>
    </w:p>
    <w:p>
      <w:pPr>
        <w:pStyle w:val="FirstParagraph"/>
      </w:pPr>
      <w:r>
        <w:t xml:space="preserve">What is spoken from the Sidratu’l-Muntahá is the Mother Book, which is the hidden treasure.</w:t>
      </w:r>
      <w:r>
        <w:rPr>
          <w:rStyle w:val="FootnoteReference"/>
        </w:rPr>
        <w:footnoteReference w:id="136"/>
      </w:r>
      <w:r>
        <w:t xml:space="preserve"> </w:t>
      </w:r>
      <w:r>
        <w:t xml:space="preserve">The Mother Book includes everything spoken by God, and things which people are not ready to hear. It contains all knowledge and also manifests all of God’s names and attributes.</w:t>
      </w:r>
    </w:p>
    <w:p>
      <w:pPr>
        <w:pStyle w:val="BodyText"/>
      </w:pPr>
      <w:r>
        <w:t xml:space="preserve">The Holy Spirit also appears from the Sidratu’l-Muntahá. Much like the Holy Maiden, revelation appears from it. While the Holy Maiden may be a personal apparition for Bahá’u’lláh, the Holy Spirit has descended from Heaven to animate the missions of those such as Jesus Christ. The Holy Spirit has its own language.</w:t>
      </w:r>
      <w:r>
        <w:rPr>
          <w:rStyle w:val="FootnoteReference"/>
        </w:rPr>
        <w:footnoteReference w:id="137"/>
      </w:r>
      <w:r>
        <w:t xml:space="preserve"> </w:t>
      </w:r>
      <w:r>
        <w:t xml:space="preserve">The Holy Spirit can also act as an intermediary between the Manifestations of God and us, or between God and us. It calls from the Kingdom of God</w:t>
      </w:r>
      <w:r>
        <w:rPr>
          <w:rStyle w:val="FootnoteReference"/>
        </w:rPr>
        <w:footnoteReference w:id="138"/>
      </w:r>
      <w:r>
        <w:t xml:space="preserve"> </w:t>
      </w:r>
      <w:r>
        <w:t xml:space="preserve">and animates and inspires life within the soul, even if the soul seems inert or dead. The Holy Spirit is a source of grace.</w:t>
      </w:r>
      <w:r>
        <w:rPr>
          <w:rStyle w:val="FootnoteReference"/>
        </w:rPr>
        <w:footnoteReference w:id="139"/>
      </w:r>
    </w:p>
    <w:p>
      <w:pPr>
        <w:pStyle w:val="BodyText"/>
      </w:pPr>
      <w:r>
        <w:t xml:space="preserve">Belief in the Sidratu’l-Muntahá is important as it helps a person understand that there are pathways for divine assistance available to us. These can come when we need them, even if we don’t seek this assistance. These can come if we choose to approach the Sidratu’l-Muntahá on our own accord. It represents a constant hope for the soul and a constant pathway for God’s names and attributes to have a real effect in our lives.</w:t>
      </w:r>
    </w:p>
    <w:p>
      <w:pPr>
        <w:pStyle w:val="BodyText"/>
      </w:pPr>
      <w:r>
        <w:rPr>
          <w:iCs/>
          <w:i/>
        </w:rPr>
        <w:t xml:space="preserve">Reflection: Where do you sense the</w:t>
      </w:r>
      <w:r>
        <w:rPr>
          <w:iCs/>
          <w:i/>
        </w:rPr>
        <w:t xml:space="preserve"> </w:t>
      </w:r>
      <w:r>
        <w:rPr>
          <w:iCs/>
          <w:i/>
        </w:rPr>
        <w:t xml:space="preserve">“</w:t>
      </w:r>
      <w:r>
        <w:rPr>
          <w:iCs/>
          <w:i/>
        </w:rPr>
        <w:t xml:space="preserve">horizon</w:t>
      </w:r>
      <w:r>
        <w:rPr>
          <w:iCs/>
          <w:i/>
        </w:rPr>
        <w:t xml:space="preserve">”</w:t>
      </w:r>
      <w:r>
        <w:rPr>
          <w:iCs/>
          <w:i/>
        </w:rPr>
        <w:t xml:space="preserve"> </w:t>
      </w:r>
      <w:r>
        <w:rPr>
          <w:iCs/>
          <w:i/>
        </w:rPr>
        <w:t xml:space="preserve">in your own life, the place where reason reaches its limit and the soul must learn trust?</w:t>
      </w:r>
    </w:p>
    <w:p>
      <w:pPr>
        <w:pStyle w:val="BodyText"/>
      </w:pPr>
      <w:r>
        <w:t xml:space="preserve">Having looked at the worlds themselves, their inhabitants, and the point where worlds meet, we can now gather what this belief changes in the life of the soul.</w:t>
      </w:r>
    </w:p>
    <w:bookmarkEnd w:id="140"/>
    <w:bookmarkStart w:id="141" w:name="summary"/>
    <w:p>
      <w:pPr>
        <w:pStyle w:val="Heading2"/>
      </w:pPr>
      <w:r>
        <w:t xml:space="preserve">3.6 Summary</w:t>
      </w:r>
    </w:p>
    <w:p>
      <w:pPr>
        <w:pStyle w:val="FirstParagraph"/>
      </w:pPr>
      <w:r>
        <w:t xml:space="preserve">Belief in the worlds of God, and all which exists within them, is vital to the progression of the soul. These realms and entities are not abstractions; they are signs of God’s names and attributes and help manifest these realities in a way which can elevate the soul, whose purpose is to be near to God in the condition of paradise. This also demonstrates that we are not alone in our journey.</w:t>
      </w:r>
    </w:p>
    <w:p>
      <w:pPr>
        <w:pStyle w:val="BodyText"/>
      </w:pPr>
      <w:r>
        <w:t xml:space="preserve">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that those prior to us who loved us may be offering a helping hand within the worlds of God is deeply heartfelt. Belief in the Holy Spirit as a real entity who animates life within the soul inspires living with purpose.</w:t>
      </w:r>
    </w:p>
    <w:p>
      <w:pPr>
        <w:pStyle w:val="BodyText"/>
      </w:pPr>
      <w:r>
        <w:t xml:space="preserve">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that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that I first started this path of my journey to the Báb and Bahá’u’lláh due to a series of dreams I experienced. Dream big. Be imaginative. Your soul is ready for an amazing journey. The next Chapter 3 will discuss belief in the Day of God, also known as the Day of Resurrection.</w:t>
      </w:r>
    </w:p>
    <w:p>
      <w:r>
        <w:br w:type="page"/>
      </w:r>
    </w:p>
    <w:bookmarkEnd w:id="141"/>
    <w:bookmarkEnd w:id="142"/>
    <w:bookmarkStart w:id="181" w:name="belief-in-the-day-of-resurrection"/>
    <w:p>
      <w:pPr>
        <w:pStyle w:val="Heading1"/>
      </w:pPr>
      <w:r>
        <w:t xml:space="preserve">4. Belief in the Day of Resurrection</w:t>
      </w:r>
    </w:p>
    <w:bookmarkStart w:id="143" w:name="introduction"/>
    <w:p>
      <w:pPr>
        <w:pStyle w:val="Heading2"/>
      </w:pPr>
      <w:r>
        <w:t xml:space="preserve">4.1 Introduction</w:t>
      </w:r>
    </w:p>
    <w:p>
      <w:pPr>
        <w:pStyle w:val="FirstParagraph"/>
      </w:pPr>
      <w:r>
        <w:t xml:space="preserve">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that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 to understanding these spiritual cycles of return, rebirth, and the victory of good.</w:t>
      </w:r>
    </w:p>
    <w:p>
      <w:pPr>
        <w:pStyle w:val="BodyText"/>
      </w:pPr>
      <w:r>
        <w:t xml:space="preserve">Belief in the Day of Resurrection is a belief the Kitáb-i-Aqdas assumes, although it does not provide a detailed explanation. Bahá’u’lláh devoted the Kitáb-i-Íqán (The Book of Certitude) entirely to discussing the Day of Resurrection and is an incredible resource for understanding it.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bookmarkEnd w:id="143"/>
    <w:bookmarkStart w:id="144" w:name="moses-and-jesus"/>
    <w:p>
      <w:pPr>
        <w:pStyle w:val="Heading2"/>
      </w:pPr>
      <w:r>
        <w:t xml:space="preserve">4.2 Moses and Jesus</w:t>
      </w:r>
    </w:p>
    <w:p>
      <w:pPr>
        <w:pStyle w:val="FirstParagraph"/>
      </w:pPr>
      <w:r>
        <w:t xml:space="preserve">Verse #80 of the Kitáb-i-Aqdas uses powerful imagery to describe what the Day of Resurrection is, without itself being an explanation that would have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had already done so in Exodus? The answer is in the next sentence of verse #80.</w:t>
      </w:r>
    </w:p>
    <w:p>
      <w:pPr>
        <w:pStyle w:val="BodyText"/>
      </w:pPr>
      <w:r>
        <w:t xml:space="preserve">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that Moses is among us and we are reunited with Moses. Just as Moses first appeared to Pharaoh as a baby on the waters of the Nile , the same waters which set Egypt ablaze, so history repeats itself. Fire, while seemingly a source of destruction, is also a source of renewal. Just as the forests, grasslands, and marshes of the Americas required fire to renew, so too do all of us. Fire is not an eternal punishment, but rather a symbol of the Phoenix or a Zoroastrian temple. From this reunion, Mount Sinai, which used to be the source of Revelation in the first days of Moses, now circles around the new Source of Revelation and the new Source of Divine Command.</w:t>
      </w:r>
    </w:p>
    <w:p>
      <w:pPr>
        <w:pStyle w:val="BodyText"/>
      </w:pPr>
      <w:r>
        <w:t xml:space="preserve">The Spirit, which usually refers to Jesus Christ in Bahá’u’lláh’s writings, calls from the Kingdom“Come, O sons of vanity!” If we consider what vanity is, it refers to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w:t>
      </w:r>
    </w:p>
    <w:p>
      <w:pPr>
        <w:pStyle w:val="BodyText"/>
      </w:pPr>
      <w:r>
        <w:rPr>
          <w:iCs/>
          <w:i/>
        </w:rPr>
        <w:t xml:space="preserve">Reflection: When a new Day dawns, what changes in the way we understand past Revelation?</w:t>
      </w:r>
    </w:p>
    <w:p>
      <w:pPr>
        <w:pStyle w:val="BodyText"/>
      </w:pPr>
      <w:r>
        <w:t xml:space="preserve">From these images of reunion, we now turn to the promise behind reunion, which is the Covenant itself.</w:t>
      </w:r>
    </w:p>
    <w:bookmarkEnd w:id="144"/>
    <w:bookmarkStart w:id="147" w:name="the-covenant"/>
    <w:p>
      <w:pPr>
        <w:pStyle w:val="Heading2"/>
      </w:pPr>
      <w:r>
        <w:t xml:space="preserve">4.3 The Covenant</w:t>
      </w:r>
    </w:p>
    <w:p>
      <w:pPr>
        <w:pStyle w:val="FirstParagraph"/>
      </w:pPr>
      <w:r>
        <w:t xml:space="preserve">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145"/>
      </w:r>
      <w:r>
        <w:t xml:space="preserve"> </w:t>
      </w:r>
      <w:r>
        <w:t xml:space="preserve">The trumpet is the announcement and the blast is the effect. There are two future trumpets and blasts.</w:t>
      </w:r>
      <w:r>
        <w:rPr>
          <w:rStyle w:val="FootnoteReference"/>
        </w:rPr>
        <w:footnoteReference w:id="146"/>
      </w:r>
      <w:r>
        <w:t xml:space="preserve"> </w:t>
      </w:r>
      <w:r>
        <w:t xml:space="preserve">The first blast causes universal death and the second blast resurrects all souls for judgment.</w:t>
      </w:r>
    </w:p>
    <w:p>
      <w:pPr>
        <w:pStyle w:val="BodyText"/>
      </w:pPr>
      <w:r>
        <w:t xml:space="preserve">Outside of the Abrahamic faiths, this promise for the return of God remains strong. The faith of the Inka people taught the hopeful return of Wiraqocha. Wiraqocha is a name of God as Creator who departed across the ocean with a promise of return. The Haudenosaunee believed in the return of Deganawida, a name of God which means Great Peacemaker. Deganawida is to return in a time of great turmoil to restore peace and unity. The Bhagavad Gītā (4:7-8) says about the return of Krishna, a manifestation of Vishnu,</w:t>
      </w:r>
      <w:r>
        <w:t xml:space="preserve"> </w:t>
      </w:r>
      <w:r>
        <w:t xml:space="preserve">“</w:t>
      </w:r>
      <w:r>
        <w:t xml:space="preserve">Whenever righteousness declines and unrighteousness prevails, I manifest Myself. To protect the righteous, destroy the wicked, and establish dharma, I appear in every age.</w:t>
      </w:r>
      <w:r>
        <w:t xml:space="preserve">”</w:t>
      </w:r>
      <w:r>
        <w:t xml:space="preserve"> </w:t>
      </w:r>
      <w:r>
        <w:t xml:space="preserve">There are countless examples of the return of God. Most faiths teach this return, regardless of their historical connections to each other.</w:t>
      </w:r>
    </w:p>
    <w:p>
      <w:pPr>
        <w:pStyle w:val="BodyText"/>
      </w:pPr>
      <w:r>
        <w:rPr>
          <w:iCs/>
          <w:i/>
        </w:rPr>
        <w:t xml:space="preserve">Reflection: If the promise of return echoes across religions, what would fulfillment feel like when it arrives?</w:t>
      </w:r>
    </w:p>
    <w:p>
      <w:pPr>
        <w:pStyle w:val="BodyText"/>
      </w:pPr>
      <w:r>
        <w:t xml:space="preserve">Next, we look at how Bahá’u’lláh describes the shaking of forms that happens when the promise becomes present.</w:t>
      </w:r>
    </w:p>
    <w:bookmarkEnd w:id="147"/>
    <w:bookmarkStart w:id="152" w:name="fulfillment"/>
    <w:p>
      <w:pPr>
        <w:pStyle w:val="Heading2"/>
      </w:pPr>
      <w:r>
        <w:t xml:space="preserve">4.4 Fulfillment</w:t>
      </w:r>
    </w:p>
    <w:p>
      <w:pPr>
        <w:pStyle w:val="FirstParagraph"/>
      </w:pPr>
      <w:r>
        <w:t xml:space="preserve">The trumpet blast is often called the Great Announcement.</w:t>
      </w:r>
      <w:r>
        <w:rPr>
          <w:rStyle w:val="FootnoteReference"/>
        </w:rPr>
        <w:footnoteReference w:id="148"/>
      </w:r>
      <w:r>
        <w:t xml:space="preserve"> </w:t>
      </w:r>
      <w:r>
        <w:t xml:space="preserve">This announcement is described as follows:</w:t>
      </w:r>
      <w:r>
        <w:t xml:space="preserve"> </w:t>
      </w:r>
      <w:r>
        <w:t xml:space="preserve">“</w:t>
      </w:r>
      <w:r>
        <w:t xml:space="preserve">the Day of God; none is to be mentioned in it but His own Self, the Sovereign over all that is in the heavens and the earth. This is a Cause by which all that you hold as illusions and forms has been shaken.</w:t>
      </w:r>
      <w:r>
        <w:t xml:space="preserve">”</w:t>
      </w:r>
      <w:r>
        <w:t xml:space="preserve"> </w:t>
      </w:r>
      <w:r>
        <w:t xml:space="preserve">This verse expresses God’s sovereignty but also alludes to the fact that it should be a day where everything which is associated with God, such as all of those names and attributes which are a part of His own Self, is revealed. By doing so, everything that we know can and will be changed. In regards to faith and religion, this could be traditions, false beliefs which are created by others, and other things we are attached to, such as names. By reminding us that God is the Sovereign, God is reminding us that on the Day of Resurrection, anything is possible within the fulfillment of the Covenant.</w:t>
      </w:r>
    </w:p>
    <w:p>
      <w:pPr>
        <w:pStyle w:val="BodyText"/>
      </w:pPr>
      <w:r>
        <w:t xml:space="preserve">Bahá’u’lláh describes the moon as being cleft asunder.</w:t>
      </w:r>
      <w:r>
        <w:rPr>
          <w:rStyle w:val="FootnoteReference"/>
        </w:rPr>
        <w:footnoteReference w:id="149"/>
      </w:r>
      <w:r>
        <w:t xml:space="preserve"> </w:t>
      </w:r>
      <w:r>
        <w:t xml:space="preserve">The moon, because it reflects the light of the Sun high in the nighttime sky, signifies its station as a Mirror of God, the God who brings the light of day upon us. In the Kitáb-i-Íqán, the moons can signify saints or scholars who reflected the cause of God from a past Revelation. They can also refer to the traditions and sciences attributed to the leaders and scholars of that prior age, and they can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150"/>
      </w:r>
      <w:r>
        <w:t xml:space="preserve"> </w:t>
      </w:r>
      <w:r>
        <w:t xml:space="preserve">, we are able to discern what was true from the past and what was false. This causes a radical transformation within the world itself, including the religious, moral, and social structures of all humankind. The Day of Resurrection itself is an irrevocable matter, as it is the greatest promise God makes with us. God promises change.</w:t>
      </w:r>
    </w:p>
    <w:p>
      <w:pPr>
        <w:pStyle w:val="BodyText"/>
      </w:pPr>
      <w:r>
        <w:t xml:space="preserve">“The light has shone from the horizon of manifestation, and the horizons have been illuminated as the Owner of the Day of the Covenant has come.</w:t>
      </w:r>
      <w:r>
        <w:rPr>
          <w:rStyle w:val="FootnoteReference"/>
        </w:rPr>
        <w:footnoteReference w:id="151"/>
      </w:r>
    </w:p>
    <w:p>
      <w:pPr>
        <w:pStyle w:val="BodyText"/>
      </w:pPr>
      <w:r>
        <w:rPr>
          <w:iCs/>
          <w:i/>
        </w:rPr>
        <w:t xml:space="preserve">Reflection: If the Day shakes inherited forms, what is the soul supposed to do with that shaking?</w:t>
      </w:r>
    </w:p>
    <w:p>
      <w:pPr>
        <w:pStyle w:val="BodyText"/>
      </w:pPr>
      <w:r>
        <w:t xml:space="preserve">Bahá’u’lláh answers by calling the believer to act, not to watch.</w:t>
      </w:r>
    </w:p>
    <w:bookmarkEnd w:id="152"/>
    <w:bookmarkStart w:id="153" w:name="seize-the-day"/>
    <w:p>
      <w:pPr>
        <w:pStyle w:val="Heading2"/>
      </w:pPr>
      <w:r>
        <w:t xml:space="preserve">4.5 Seize the Day</w:t>
      </w:r>
    </w:p>
    <w:p>
      <w:pPr>
        <w:pStyle w:val="FirstParagraph"/>
      </w:pPr>
      <w:r>
        <w:t xml:space="preserve">Bahá’u’lláh refers to what the Báb had said earlier in verse 135 in the Kitáb-i-Aqdas:</w:t>
      </w:r>
      <w:r>
        <w:t xml:space="preserve"> </w:t>
      </w:r>
      <w:r>
        <w:t xml:space="preserve">“</w:t>
      </w:r>
      <w:r>
        <w:t xml:space="preserve">if you attain what We reveal, you will ask from the grace of God for Him to reign upon your innermost selves, for that is a glory beyond reach. For Him to drink a cup of water with you is greater than for every soul to drink of His own existence, indeed greater than all things.</w:t>
      </w:r>
      <w:r>
        <w:t xml:space="preserve">”</w:t>
      </w:r>
    </w:p>
    <w:p>
      <w:pPr>
        <w:pStyle w:val="BodyText"/>
      </w:pPr>
      <w:r>
        <w:t xml:space="preserve">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this. Bahá’u’lláh says to seize the Day. Belief in the Day of Resurrection is not a passive act. It requires an active belief in God, all the names and attributes of God, the human soul and its potentials, all the worlds of God, and the belief that everything within the material world is subject to renewal and transformation.</w:t>
      </w:r>
    </w:p>
    <w:p>
      <w:pPr>
        <w:pStyle w:val="BodyText"/>
      </w:pPr>
      <w:r>
        <w:rPr>
          <w:iCs/>
          <w:i/>
        </w:rPr>
        <w:t xml:space="preserve">Reflection: If belief is meant to be active, what does the Day reveal about God’s character?</w:t>
      </w:r>
    </w:p>
    <w:p>
      <w:pPr>
        <w:pStyle w:val="BodyText"/>
      </w:pPr>
      <w:r>
        <w:t xml:space="preserve">To answer, we now return to the Names and attributes from Chapter 1 and see how the Day makes them visible.</w:t>
      </w:r>
    </w:p>
    <w:bookmarkEnd w:id="153"/>
    <w:bookmarkStart w:id="178" w:name="Xa78b400f5835a52ad02771782a525aae431bb56"/>
    <w:p>
      <w:pPr>
        <w:pStyle w:val="Heading2"/>
      </w:pPr>
      <w:r>
        <w:t xml:space="preserve">4.6 The Day Manifests God’s Names and Attributes</w:t>
      </w:r>
    </w:p>
    <w:p>
      <w:pPr>
        <w:pStyle w:val="FirstParagraph"/>
      </w:pPr>
      <w:r>
        <w:t xml:space="preserve">The Day of Resurrection exemplifies and magnifies God’s names and attributes. The following demonstrates how any believer can explore this connection using the framework established in Chapter 1.</w:t>
      </w:r>
    </w:p>
    <w:bookmarkStart w:id="160" w:name="the-day-as-unveiling"/>
    <w:p>
      <w:pPr>
        <w:pStyle w:val="Heading3"/>
      </w:pPr>
      <w:r>
        <w:t xml:space="preserve">4.6.1 The Day as Unveiling</w:t>
      </w:r>
    </w:p>
    <w:p>
      <w:pPr>
        <w:pStyle w:val="FirstParagraph"/>
      </w:pPr>
      <w:r>
        <w:t xml:space="preserve">The Day of Resurrection reflects Subtlety, as the Day and Hour are hidden until they are revealed.</w:t>
      </w:r>
      <w:r>
        <w:t xml:space="preserve"> </w:t>
      </w:r>
      <w:r>
        <w:t xml:space="preserve">“</w:t>
      </w:r>
      <w:r>
        <w:t xml:space="preserve">The hour has come, the call has been raised, the cry has appeared, and the mountains have passed, but the people do not perceive it.</w:t>
      </w:r>
      <w:r>
        <w:t xml:space="preserve">”</w:t>
      </w:r>
      <w:r>
        <w:rPr>
          <w:rStyle w:val="FootnoteReference"/>
        </w:rPr>
        <w:footnoteReference w:id="154"/>
      </w:r>
      <w:r>
        <w:t xml:space="preserve"> </w:t>
      </w:r>
      <w:r>
        <w:t xml:space="preserve">This demonstrates that the soul must not rely on the physical senses derived from the body, but on its spiritual capacities.</w:t>
      </w:r>
    </w:p>
    <w:p>
      <w:pPr>
        <w:pStyle w:val="BodyText"/>
      </w:pPr>
      <w:r>
        <w:t xml:space="preserve">The Day reflects Manifestation, as the Day unveils what was hidden.</w:t>
      </w:r>
      <w:r>
        <w:t xml:space="preserve"> </w:t>
      </w:r>
      <w:r>
        <w:t xml:space="preserve">“</w:t>
      </w:r>
      <w:r>
        <w:t xml:space="preserve">We have opened the doors of the kingdom for you. Do you shut the doors of your houses in My face? This is indeed a great error. Say: He has come from the heaven as He came the first time.</w:t>
      </w:r>
      <w:r>
        <w:t xml:space="preserve">”</w:t>
      </w:r>
      <w:r>
        <w:rPr>
          <w:rStyle w:val="FootnoteReference"/>
        </w:rPr>
        <w:footnoteReference w:id="155"/>
      </w:r>
      <w:r>
        <w:t xml:space="preserve"> </w:t>
      </w:r>
      <w:r>
        <w:t xml:space="preserve">What was subtle is fully manifested and truths which were once veiled become clear and undeniable. The doors of the Kingdom, the spiritual worlds of God, are open and revealed. This Manifestation has happened before, is happening today, and will happen again tomorrow.</w:t>
      </w:r>
    </w:p>
    <w:p>
      <w:pPr>
        <w:pStyle w:val="BodyText"/>
      </w:pPr>
      <w:r>
        <w:t xml:space="preserve">The Day reflects Knowledge, as the Day separates truth from falsehood.</w:t>
      </w:r>
      <w:r>
        <w:t xml:space="preserve"> </w:t>
      </w:r>
      <w:r>
        <w:t xml:space="preserve">“</w:t>
      </w:r>
      <w:r>
        <w:t xml:space="preserve">Thus does God teach you what will save you from doubt and perplexity and deliver you in this world and the next.</w:t>
      </w:r>
      <w:r>
        <w:t xml:space="preserve">”</w:t>
      </w:r>
      <w:r>
        <w:rPr>
          <w:rStyle w:val="FootnoteReference"/>
        </w:rPr>
        <w:footnoteReference w:id="156"/>
      </w:r>
      <w:r>
        <w:t xml:space="preserve"> </w:t>
      </w:r>
      <w:r>
        <w:t xml:space="preserve">Past misunderstandings are corrected, hidden wisdom is brought forth, and those who seemed wise are humbled before God. Divine knowledge is fully revealed.</w:t>
      </w:r>
    </w:p>
    <w:p>
      <w:pPr>
        <w:pStyle w:val="BodyText"/>
      </w:pPr>
      <w:r>
        <w:t xml:space="preserve">The Day reflects Creation, as the Day is when a new reality is born.</w:t>
      </w:r>
      <w:r>
        <w:t xml:space="preserve"> </w:t>
      </w:r>
      <w:r>
        <w:t xml:space="preserve">“</w:t>
      </w:r>
      <w:r>
        <w:t xml:space="preserve">He created all things by His command and sovereignty and decreed for every matter a time in His Book.</w:t>
      </w:r>
      <w:r>
        <w:t xml:space="preserve">”</w:t>
      </w:r>
      <w:r>
        <w:rPr>
          <w:rStyle w:val="FootnoteReference"/>
        </w:rPr>
        <w:footnoteReference w:id="157"/>
      </w:r>
      <w:r>
        <w:t xml:space="preserve"> </w:t>
      </w:r>
      <w:r>
        <w:t xml:space="preserve">With every time, the last leads to the first, the end leads to the new.</w:t>
      </w:r>
      <w:r>
        <w:t xml:space="preserve"> </w:t>
      </w:r>
      <w:r>
        <w:t xml:space="preserve">“</w:t>
      </w:r>
      <w:r>
        <w:t xml:space="preserve">Everything will set down its burden; how blessed is the sender of this favor that encompasses all things, visible and hidden. This is how we created the cosmos anew today</w:t>
      </w:r>
      <w:r>
        <w:t xml:space="preserve">”</w:t>
      </w:r>
      <w:r>
        <w:rPr>
          <w:rStyle w:val="FootnoteReference"/>
        </w:rPr>
        <w:footnoteReference w:id="158"/>
      </w:r>
    </w:p>
    <w:p>
      <w:pPr>
        <w:pStyle w:val="BodyText"/>
      </w:pPr>
      <w:r>
        <w:t xml:space="preserve">The Day reflects Power, as the Day establishes divine authority.</w:t>
      </w:r>
      <w:r>
        <w:t xml:space="preserve"> </w:t>
      </w:r>
      <w:r>
        <w:t xml:space="preserve">“</w:t>
      </w:r>
      <w:r>
        <w:t xml:space="preserve">…the signs of the Resurrection, such as “the splitting of the sky,</w:t>
      </w:r>
      <w:r>
        <w:t xml:space="preserve">”</w:t>
      </w:r>
      <w:r>
        <w:t xml:space="preserve"> </w:t>
      </w:r>
      <w:r>
        <w:t xml:space="preserve">“</w:t>
      </w:r>
      <w:r>
        <w:t xml:space="preserve">the breaking of the earth,</w:t>
      </w:r>
      <w:r>
        <w:t xml:space="preserve">”</w:t>
      </w:r>
      <w:r>
        <w:t xml:space="preserve"> </w:t>
      </w:r>
      <w:r>
        <w:t xml:space="preserve">“</w:t>
      </w:r>
      <w:r>
        <w:t xml:space="preserve">the leveling of the mountains,</w:t>
      </w:r>
      <w:r>
        <w:t xml:space="preserve">”</w:t>
      </w:r>
      <w:r>
        <w:t xml:space="preserve"> </w:t>
      </w:r>
      <w:r>
        <w:t xml:space="preserve">“</w:t>
      </w:r>
      <w:r>
        <w:t xml:space="preserve">the rising of the dead from their physical graves,</w:t>
      </w:r>
      <w:r>
        <w:t xml:space="preserve">”</w:t>
      </w:r>
      <w:r>
        <w:t xml:space="preserve"> </w:t>
      </w:r>
      <w:r>
        <w:t xml:space="preserve">and similar expressions that signify the signs of the Last Day.”</w:t>
      </w:r>
      <w:r>
        <w:rPr>
          <w:rStyle w:val="FootnoteReference"/>
        </w:rPr>
        <w:footnoteReference w:id="159"/>
      </w:r>
      <w:r>
        <w:t xml:space="preserve"> </w:t>
      </w:r>
      <w:r>
        <w:t xml:space="preserve">No force can resist the unfolding of the divine decree and God’s power is made evident.</w:t>
      </w:r>
    </w:p>
    <w:bookmarkEnd w:id="160"/>
    <w:bookmarkStart w:id="167" w:name="the-day-as-judgment-and-renewal"/>
    <w:p>
      <w:pPr>
        <w:pStyle w:val="Heading3"/>
      </w:pPr>
      <w:r>
        <w:t xml:space="preserve">4.6.2 The Day as Judgment and Renewal</w:t>
      </w:r>
    </w:p>
    <w:p>
      <w:pPr>
        <w:pStyle w:val="FirstParagraph"/>
      </w:pPr>
      <w:r>
        <w:t xml:space="preserve">The Day reflects Lordship, as the Day affirms God’s Sovereignty.</w:t>
      </w:r>
      <w:r>
        <w:t xml:space="preserve"> </w:t>
      </w:r>
      <w:r>
        <w:t xml:space="preserve">“</w:t>
      </w:r>
      <w:r>
        <w:t xml:space="preserve">Thus commands you the Lord of the Day of Judgment. Reside in the fortress of My love.</w:t>
      </w:r>
      <w:r>
        <w:t xml:space="preserve">”</w:t>
      </w:r>
      <w:r>
        <w:rPr>
          <w:rStyle w:val="FootnoteReference"/>
        </w:rPr>
        <w:footnoteReference w:id="161"/>
      </w:r>
      <w:r>
        <w:t xml:space="preserve"> </w:t>
      </w:r>
      <w:r>
        <w:t xml:space="preserve">All past rulers and authorities are weighed against this balance, even if they have acted according to the law of yesterday. The Day confirms God’s rule over all of the worlds and every soul and being within them.</w:t>
      </w:r>
    </w:p>
    <w:p>
      <w:pPr>
        <w:pStyle w:val="BodyText"/>
      </w:pPr>
      <w:r>
        <w:t xml:space="preserve">The Day reflects Justice, as the Day brings perfect judgment.</w:t>
      </w:r>
      <w:r>
        <w:t xml:space="preserve"> </w:t>
      </w:r>
      <w:r>
        <w:t xml:space="preserve">“</w:t>
      </w:r>
      <w:r>
        <w:t xml:space="preserve">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t xml:space="preserve">”</w:t>
      </w:r>
      <w:r>
        <w:rPr>
          <w:rStyle w:val="FootnoteReference"/>
        </w:rPr>
        <w:footnoteReference w:id="162"/>
      </w:r>
      <w:r>
        <w:t xml:space="preserve"> </w:t>
      </w:r>
      <w:r>
        <w:t xml:space="preserve">No injustice will remain hidden and all souls will stand accountable for their deeds. There are no exceptions. The balance is set and no soul will be wronged.</w:t>
      </w:r>
    </w:p>
    <w:p>
      <w:pPr>
        <w:pStyle w:val="BodyText"/>
      </w:pPr>
      <w:r>
        <w:t xml:space="preserve">The Day reflects Exaltation, as the Day magnifies God’s Glory (Bahá’).</w:t>
      </w:r>
      <w:r>
        <w:t xml:space="preserve"> </w:t>
      </w:r>
      <w:r>
        <w:t xml:space="preserve">“</w:t>
      </w:r>
      <w:r>
        <w:t xml:space="preserve">Today is a day that cannot be equaled by the previous centuries for even a single hour. This most holy and exalted day has always been and will forever be set apart and is referred to in the divine books.</w:t>
      </w:r>
      <w:r>
        <w:t xml:space="preserve">”</w:t>
      </w:r>
      <w:r>
        <w:rPr>
          <w:rStyle w:val="FootnoteReference"/>
        </w:rPr>
        <w:footnoteReference w:id="163"/>
      </w:r>
      <w:r>
        <w:t xml:space="preserve"> </w:t>
      </w:r>
      <w:r>
        <w:t xml:space="preserve">All of the worlds bear witness. On the Day, God’s supreme station is affirmed.</w:t>
      </w:r>
    </w:p>
    <w:p>
      <w:pPr>
        <w:pStyle w:val="BodyText"/>
      </w:pPr>
      <w:r>
        <w:t xml:space="preserve">The Day reflects Independence, as the Day reveals that God needs no one.</w:t>
      </w:r>
      <w:r>
        <w:t xml:space="preserve"> </w:t>
      </w:r>
      <w:r>
        <w:t xml:space="preserve">“</w:t>
      </w:r>
      <w:r>
        <w:t xml:space="preserve">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t xml:space="preserve">”</w:t>
      </w:r>
      <w:r>
        <w:rPr>
          <w:rStyle w:val="FootnoteReference"/>
        </w:rPr>
        <w:footnoteReference w:id="164"/>
      </w:r>
      <w:r>
        <w:t xml:space="preserve"> </w:t>
      </w:r>
      <w:r>
        <w:t xml:space="preserve">No force could hasten or delay the Day. It does not come from human effort, nor from human interpretations and traditions.</w:t>
      </w:r>
    </w:p>
    <w:p>
      <w:pPr>
        <w:pStyle w:val="BodyText"/>
      </w:pPr>
      <w:r>
        <w:t xml:space="preserve">The Day reflects Command, as the Day implements divine law.</w:t>
      </w:r>
      <w:r>
        <w:t xml:space="preserve"> </w:t>
      </w:r>
      <w:r>
        <w:t xml:space="preserve">“</w:t>
      </w:r>
      <w:r>
        <w:t xml:space="preserve">This is the Day of Resurrection and the Lord of all worlds. This is the Day of the Call and My immutable decree.</w:t>
      </w:r>
      <w:r>
        <w:t xml:space="preserve">”</w:t>
      </w:r>
      <w:r>
        <w:rPr>
          <w:rStyle w:val="FootnoteReference"/>
        </w:rPr>
        <w:footnoteReference w:id="165"/>
      </w:r>
      <w:r>
        <w:t xml:space="preserve"> </w:t>
      </w:r>
      <w:r>
        <w:t xml:space="preserve">Past laws and dispensations are weighed and fulfilled, while God’s Will is executed without resistance even if it seems He is being resisted.</w:t>
      </w:r>
    </w:p>
    <w:p>
      <w:pPr>
        <w:pStyle w:val="BodyText"/>
      </w:pPr>
      <w:r>
        <w:t xml:space="preserve">The Day reflects Counsel, as the Day reveals God’s wisdom.</w:t>
      </w:r>
      <w:r>
        <w:t xml:space="preserve"> </w:t>
      </w:r>
      <w:r>
        <w:t xml:space="preserve">“</w:t>
      </w:r>
      <w:r>
        <w:t xml:space="preserve">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t xml:space="preserve">”</w:t>
      </w:r>
      <w:r>
        <w:rPr>
          <w:rStyle w:val="FootnoteReference"/>
        </w:rPr>
        <w:footnoteReference w:id="166"/>
      </w:r>
      <w:r>
        <w:t xml:space="preserve"> </w:t>
      </w:r>
      <w:r>
        <w:t xml:space="preserve">This wisdom can remove all veils and bring clarity to all who attain this counsel. The Day is not merely a reckoning, but a moment of divine instruction.</w:t>
      </w:r>
    </w:p>
    <w:bookmarkEnd w:id="167"/>
    <w:bookmarkStart w:id="177" w:name="the-day-as-mercy-and-fulfillment"/>
    <w:p>
      <w:pPr>
        <w:pStyle w:val="Heading3"/>
      </w:pPr>
      <w:r>
        <w:t xml:space="preserve">4.6.3 The Day as Mercy and Fulfillment</w:t>
      </w:r>
    </w:p>
    <w:p>
      <w:pPr>
        <w:pStyle w:val="FirstParagraph"/>
      </w:pPr>
      <w:r>
        <w:t xml:space="preserve">The Day reflects Faithfulness, as the Day fulfills God’s promises.</w:t>
      </w:r>
      <w:r>
        <w:t xml:space="preserve"> </w:t>
      </w:r>
      <w:r>
        <w:t xml:space="preserve">“</w:t>
      </w:r>
      <w:r>
        <w:t xml:space="preserve">This is a reminder from Us to whomever turns to God and hears His sweetest voice, which rose between earth and heaven, that they may give thanks to their Lord, the Ever-Watchful, the Self-Subsisting. The promise has been fulfilled, and the Promised One has come.</w:t>
      </w:r>
      <w:r>
        <w:t xml:space="preserve">”</w:t>
      </w:r>
      <w:r>
        <w:rPr>
          <w:rStyle w:val="FootnoteReference"/>
        </w:rPr>
        <w:footnoteReference w:id="168"/>
      </w:r>
      <w:r>
        <w:t xml:space="preserve"> </w:t>
      </w:r>
      <w:r>
        <w:t xml:space="preserve">Prophecies and promises reach their climax, assuring the faithful with certainty that their devotion was not in vain.</w:t>
      </w:r>
    </w:p>
    <w:p>
      <w:pPr>
        <w:pStyle w:val="BodyText"/>
      </w:pPr>
      <w:r>
        <w:t xml:space="preserve">The Day reflects Praise, as the Day inspires worship.</w:t>
      </w:r>
      <w:r>
        <w:t xml:space="preserve"> </w:t>
      </w:r>
      <w:r>
        <w:t xml:space="preserve">“</w:t>
      </w:r>
      <w:r>
        <w:t xml:space="preserve">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t xml:space="preserve">”</w:t>
      </w:r>
      <w:r>
        <w:rPr>
          <w:rStyle w:val="FootnoteReference"/>
        </w:rPr>
        <w:footnoteReference w:id="169"/>
      </w:r>
      <w:r>
        <w:t xml:space="preserve"> </w:t>
      </w:r>
      <w:r>
        <w:t xml:space="preserve">All throughout the worlds, such as the hosts of heaven, all beings glorify God on this Day. The Day reveals majesty, evoking praise with spirit and joy. Even those who doubted are overwhelmed by awe.</w:t>
      </w:r>
    </w:p>
    <w:p>
      <w:pPr>
        <w:pStyle w:val="BodyText"/>
      </w:pPr>
      <w:r>
        <w:t xml:space="preserve">The Day reflects Love, as the Day is an expression of divine love.</w:t>
      </w:r>
      <w:r>
        <w:t xml:space="preserve"> </w:t>
      </w:r>
      <w:r>
        <w:t xml:space="preserve">“</w:t>
      </w:r>
      <w:r>
        <w:t xml:space="preserve">This is a day on which fire speaks in all things; the Beloved of the worlds has come.</w:t>
      </w:r>
      <w:r>
        <w:t xml:space="preserve">”</w:t>
      </w:r>
      <w:r>
        <w:rPr>
          <w:rStyle w:val="FootnoteReference"/>
        </w:rPr>
        <w:footnoteReference w:id="170"/>
      </w:r>
      <w:r>
        <w:t xml:space="preserve"> </w:t>
      </w:r>
      <w:r>
        <w:t xml:space="preserve">The Day is not merely about judgment, but also about God’s love for His creation. The fire which speaks in all things is the fire of transformation,</w:t>
      </w:r>
      <w:r>
        <w:rPr>
          <w:rStyle w:val="FootnoteReference"/>
        </w:rPr>
        <w:footnoteReference w:id="171"/>
      </w:r>
      <w:r>
        <w:t xml:space="preserve"> </w:t>
      </w:r>
      <w:r>
        <w:t xml:space="preserve">an opportunity for every soul to embrace nearness to God.</w:t>
      </w:r>
    </w:p>
    <w:p>
      <w:pPr>
        <w:pStyle w:val="BodyText"/>
      </w:pPr>
      <w:r>
        <w:t xml:space="preserve">The Day reflects Forgiveness, as the Day offers redemption.</w:t>
      </w:r>
      <w:r>
        <w:t xml:space="preserve"> </w:t>
      </w:r>
      <w:r>
        <w:t xml:space="preserve">“</w:t>
      </w:r>
      <w:r>
        <w:t xml:space="preserve">If you abandon your deeds and believe in Him in those days, perhaps Allah will forgive your misdeeds. Indeed, He is the Mighty, the Generous.</w:t>
      </w:r>
      <w:r>
        <w:t xml:space="preserve">”</w:t>
      </w:r>
      <w:r>
        <w:rPr>
          <w:rStyle w:val="FootnoteReference"/>
        </w:rPr>
        <w:footnoteReference w:id="172"/>
      </w:r>
      <w:r>
        <w:t xml:space="preserve"> </w:t>
      </w:r>
      <w:r>
        <w:t xml:space="preserve">It is a Day when barriers between the soul and God are removed. Those who seek forgiveness, it is granted to them in full measure.</w:t>
      </w:r>
    </w:p>
    <w:p>
      <w:pPr>
        <w:pStyle w:val="BodyText"/>
      </w:pPr>
      <w:r>
        <w:t xml:space="preserve">The Day reflects Mercy, as the Day is a triumph of divine mercy. “the effulgent lights of the dawn of meanings that have shone forth in these merciful days.’</w:t>
      </w:r>
      <w:r>
        <w:rPr>
          <w:rStyle w:val="FootnoteReference"/>
        </w:rPr>
        <w:footnoteReference w:id="173"/>
      </w:r>
      <w:r>
        <w:t xml:space="preserve"> </w:t>
      </w:r>
      <w:r>
        <w:t xml:space="preserve">Judgment is tempered by mercy and even those who rejected the truth might still find grace.</w:t>
      </w:r>
    </w:p>
    <w:p>
      <w:pPr>
        <w:pStyle w:val="BodyText"/>
      </w:pPr>
      <w:r>
        <w:t xml:space="preserve">The Day reflects Generosity, as the Day bestows divine gifts.</w:t>
      </w:r>
      <w:r>
        <w:t xml:space="preserve"> </w:t>
      </w:r>
      <w:r>
        <w:t xml:space="preserve">“</w:t>
      </w:r>
      <w:r>
        <w:t xml:space="preserve">I commanded the breezes of spring, and opened the gates of heaven, and the clouds rained. Blessed is the one who succeeded in recognizing Allah in his days.</w:t>
      </w:r>
      <w:r>
        <w:t xml:space="preserve">”</w:t>
      </w:r>
      <w:r>
        <w:rPr>
          <w:rStyle w:val="FootnoteReference"/>
        </w:rPr>
        <w:footnoteReference w:id="174"/>
      </w:r>
      <w:r>
        <w:t xml:space="preserve"> </w:t>
      </w:r>
      <w:r>
        <w:t xml:space="preserve">Spiritual capacities are unlocked for those who accept them. The gates of divine bestowal have opened. This bounty demonstrates that the Day is not merely about accountability, but also about bounty.</w:t>
      </w:r>
    </w:p>
    <w:p>
      <w:pPr>
        <w:pStyle w:val="BodyText"/>
      </w:pPr>
      <w:r>
        <w:t xml:space="preserve">The Day reflects Sovereignty, as the Day confirms who rules.</w:t>
      </w:r>
      <w:r>
        <w:t xml:space="preserve"> </w:t>
      </w:r>
      <w:r>
        <w:t xml:space="preserve">“</w:t>
      </w:r>
      <w:r>
        <w:t xml:space="preserve">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t xml:space="preserve">”</w:t>
      </w:r>
      <w:r>
        <w:rPr>
          <w:rStyle w:val="FootnoteReference"/>
        </w:rPr>
        <w:footnoteReference w:id="175"/>
      </w:r>
      <w:r>
        <w:t xml:space="preserve"> </w:t>
      </w:r>
      <w:r>
        <w:t xml:space="preserve">On this Day, all those who claim power are shown that their claims are false, as God is the true ruler of existence. The Dominion belongs to none but God.</w:t>
      </w:r>
    </w:p>
    <w:p>
      <w:pPr>
        <w:pStyle w:val="BodyText"/>
      </w:pPr>
      <w:r>
        <w:t xml:space="preserve">The Day reflects Purity, as the Day confirms the absolute triumph of truth.</w:t>
      </w:r>
      <w:r>
        <w:t xml:space="preserve"> </w:t>
      </w:r>
      <w:r>
        <w:t xml:space="preserve">“</w:t>
      </w:r>
      <w:r>
        <w:t xml:space="preserve">The Pen of the Most High declares in this Most Great Manifestation: “This is the Day of God, if you would but recognize it. And this is the Day of Manifestation, if you would but witness it. On this day, none is mentioned except God alone, if you would but perceive it. He has come with the Truth, sanctified from all witness and witnessed, and purified from all that has flowed from the Pen and appeared from the tongue, if you would but know it.</w:t>
      </w:r>
      <w:r>
        <w:t xml:space="preserve">”</w:t>
      </w:r>
      <w:r>
        <w:rPr>
          <w:rStyle w:val="FootnoteReference"/>
        </w:rPr>
        <w:footnoteReference w:id="176"/>
      </w:r>
      <w:r>
        <w:t xml:space="preserve"> </w:t>
      </w:r>
      <w:r>
        <w:t xml:space="preserve">The Day separates truth from illusion. No falsehood, corruption, or impurity can remain. The Day is a testament to Oneness. It is a Day of Unity.</w:t>
      </w:r>
    </w:p>
    <w:p>
      <w:pPr>
        <w:pStyle w:val="BodyText"/>
      </w:pPr>
      <w:r>
        <w:t xml:space="preserve">The Day is therefore historical through the appearance of a new Manifestation, and it is inward through the resurrection and transformation of the soul.</w:t>
      </w:r>
    </w:p>
    <w:p>
      <w:pPr>
        <w:pStyle w:val="BodyText"/>
      </w:pPr>
      <w:r>
        <w:rPr>
          <w:iCs/>
          <w:i/>
        </w:rPr>
        <w:t xml:space="preserve">Reflection: If the Day transforms both the world and the soul, how does the soul move through the worlds of God when it recognizes the Day?</w:t>
      </w:r>
    </w:p>
    <w:p>
      <w:pPr>
        <w:pStyle w:val="BodyText"/>
      </w:pPr>
      <w:r>
        <w:t xml:space="preserve">We now return to the worlds described in Chapter 3 and describe the Day as a migration of the soul.</w:t>
      </w:r>
    </w:p>
    <w:bookmarkEnd w:id="177"/>
    <w:bookmarkEnd w:id="178"/>
    <w:bookmarkStart w:id="179" w:name="Xafbcf3ca554297666bd58c9bc1c8fe273e4244c"/>
    <w:p>
      <w:pPr>
        <w:pStyle w:val="Heading2"/>
      </w:pPr>
      <w:r>
        <w:t xml:space="preserve">4.7 The Day as the Soul’s Migration through the Worlds</w:t>
      </w:r>
    </w:p>
    <w:p>
      <w:pPr>
        <w:pStyle w:val="FirstParagraph"/>
      </w:pPr>
      <w:r>
        <w:t xml:space="preserve">The Day of Resurrection is the</w:t>
      </w:r>
      <w:r>
        <w:t xml:space="preserve"> </w:t>
      </w:r>
      <w:r>
        <w:t xml:space="preserve">“</w:t>
      </w:r>
      <w:r>
        <w:t xml:space="preserve">Great Return</w:t>
      </w:r>
      <w:r>
        <w:t xml:space="preserve">”</w:t>
      </w:r>
      <w:r>
        <w:t xml:space="preserve"> </w:t>
      </w:r>
      <w:r>
        <w:t xml:space="preserve">where the Human Soul transcends the limitations of its private Self to navigate the Worlds of God with newfound clarity. On this Day, the soul is resurrected from the grave of the World of Nāsūt (the physical realm of shadows and limitations) and is invited into the World of Malakūt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Jabarūt (the Celestial Might). The Resurrection is thus the graduation day of the soul, where the lessons learned in the School of Servitude are finally applied as the soul enters the City of Submission.</w:t>
      </w:r>
    </w:p>
    <w:p>
      <w:pPr>
        <w:pStyle w:val="BodyText"/>
      </w:pPr>
      <w:r>
        <w:t xml:space="preserve">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pPr>
        <w:pStyle w:val="BodyText"/>
      </w:pPr>
      <w:r>
        <w:rPr>
          <w:iCs/>
          <w:i/>
        </w:rPr>
        <w:t xml:space="preserve">Reflection: If the first law of the Kitáb-i-Aqdas begins with recognition, what does that recognition complete?</w:t>
      </w:r>
    </w:p>
    <w:bookmarkEnd w:id="179"/>
    <w:bookmarkStart w:id="180" w:name="the-first-paragraph-of-the-kitáb-i-aqdas"/>
    <w:p>
      <w:pPr>
        <w:pStyle w:val="Heading2"/>
      </w:pPr>
      <w:r>
        <w:t xml:space="preserve">4.8 The First Paragraph of the Kitáb-i-Aqdas</w:t>
      </w:r>
    </w:p>
    <w:p>
      <w:pPr>
        <w:pStyle w:val="FirstParagraph"/>
      </w:pPr>
      <w:r>
        <w:t xml:space="preserve">In the first verse of the Kitáb-i-Aqdas, Bahá’u’lláh says</w:t>
      </w:r>
    </w:p>
    <w:p>
      <w:pPr>
        <w:pStyle w:val="BlockText"/>
      </w:pPr>
      <w:r>
        <w:t xml:space="preserve">“</w:t>
      </w:r>
      <w:r>
        <w:t xml:space="preserve">The first thing that God has prescribed for His servants is the recognition of the dawning place of His Revelation and the source of His command, which is the station of His own Self in the realm of command and creation.</w:t>
      </w:r>
      <w:r>
        <w:t xml:space="preserve">”</w:t>
      </w:r>
    </w:p>
    <w:p>
      <w:pPr>
        <w:pStyle w:val="FirstParagraph"/>
      </w:pPr>
      <w:r>
        <w:t xml:space="preserve">The next two Chapters will discuss belief in the Command of God (Chapter 5) and belief in the Manifestation of God (Chapter 6), which complete the covenant of God. These two beliefs comprise the foundation of the Kitáb-i-Aqdas, derived from belief in the Day of Resurrection. Belief in these two things helps reinforce belief in God, the station of the soul, and the worlds of God. All of this is a cycle that is an endless loop of self-discovery and transformation. All of this is embedded within the very first law of the Kitáb-i-Aqdas. As you see, the Kitáb-i-Aqdas is not merely a book of laws. It is the Most Holy Book. It is the fulfillment of the Covenant of God.</w:t>
      </w:r>
    </w:p>
    <w:p>
      <w:pPr>
        <w:pStyle w:val="BodyText"/>
      </w:pPr>
      <w:r>
        <w:t xml:space="preserve">Resurrection reveals the Day, Command establishes its authority, and the Manifestation makes it known.</w:t>
      </w:r>
    </w:p>
    <w:p>
      <w:r>
        <w:br w:type="page"/>
      </w:r>
    </w:p>
    <w:bookmarkEnd w:id="180"/>
    <w:bookmarkEnd w:id="181"/>
    <w:bookmarkStart w:id="236" w:name="belief-in-the-commands-of-god"/>
    <w:p>
      <w:pPr>
        <w:pStyle w:val="Heading1"/>
      </w:pPr>
      <w:r>
        <w:t xml:space="preserve">5. Belief in the Commands of God</w:t>
      </w:r>
    </w:p>
    <w:bookmarkStart w:id="182" w:name="X61dbd320c46dd9e49c35b7eea79ea92e5aeba3d"/>
    <w:p>
      <w:pPr>
        <w:pStyle w:val="Heading2"/>
      </w:pPr>
      <w:r>
        <w:t xml:space="preserve">5.1 Introduction: The Divine Command as the Source of Order</w:t>
      </w:r>
    </w:p>
    <w:p>
      <w:pPr>
        <w:pStyle w:val="FirstParagraph"/>
      </w:pPr>
      <w:r>
        <w:t xml:space="preserve">Belief in the Command of God is central to the Kitáb-i-Aqdas and the entire revelation of Bahá’u’lláh. It has been a central tenet of all religions.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bookmarkEnd w:id="182"/>
    <w:bookmarkStart w:id="192" w:name="command-of-god-before-and-after"/>
    <w:p>
      <w:pPr>
        <w:pStyle w:val="Heading2"/>
      </w:pPr>
      <w:r>
        <w:t xml:space="preserve">5.2 Command of God Before and After</w:t>
      </w:r>
    </w:p>
    <w:p>
      <w:pPr>
        <w:pStyle w:val="FirstParagraph"/>
      </w:pPr>
      <w:r>
        <w:t xml:space="preserve">“</w:t>
      </w:r>
      <w:r>
        <w:t xml:space="preserve">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t xml:space="preserve">”</w:t>
      </w:r>
      <w:r>
        <w:rPr>
          <w:rStyle w:val="FootnoteReference"/>
        </w:rPr>
        <w:footnoteReference w:id="183"/>
      </w:r>
    </w:p>
    <w:p>
      <w:pPr>
        <w:pStyle w:val="BodyText"/>
      </w:pPr>
      <w:r>
        <w:t xml:space="preserve">Bahá’u’lláh affirms that this is the religion of God from before and after.</w:t>
      </w:r>
      <w:r>
        <w:rPr>
          <w:rStyle w:val="FootnoteReference"/>
        </w:rPr>
        <w:footnoteReference w:id="184"/>
      </w:r>
      <w:r>
        <w:t xml:space="preserve"> </w:t>
      </w:r>
      <w:r>
        <w:t xml:space="preserve">The Book of Existence encompasses all of creation, not just the Command. However, the Command is derived from the Book of Existence and is the standard for creation. The Command from before does not have everything within the Book of Existence; neither does the current Command, and neither does the future Command. Bahá’u’lláh says,</w:t>
      </w:r>
      <w:r>
        <w:t xml:space="preserve"> </w:t>
      </w:r>
      <w:r>
        <w:t xml:space="preserve">“</w:t>
      </w:r>
      <w:r>
        <w:t xml:space="preserve">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t xml:space="preserve">”</w:t>
      </w:r>
      <w:r>
        <w:rPr>
          <w:rStyle w:val="FootnoteReference"/>
        </w:rPr>
        <w:footnoteReference w:id="185"/>
      </w:r>
    </w:p>
    <w:p>
      <w:pPr>
        <w:pStyle w:val="BodyText"/>
      </w:pPr>
      <w:r>
        <w:t xml:space="preserve">In essence, there are many chapters in the Book of Existence, an eternal reality which precedes and outlasts creation itself. God does not promise that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that history is built in layers. Religion is a part of this history.</w:t>
      </w:r>
    </w:p>
    <w:bookmarkStart w:id="189" w:name="revelation"/>
    <w:p>
      <w:pPr>
        <w:pStyle w:val="Heading3"/>
      </w:pPr>
      <w:r>
        <w:t xml:space="preserve">5.2.1 Revelation</w:t>
      </w:r>
    </w:p>
    <w:p>
      <w:pPr>
        <w:pStyle w:val="FirstParagraph"/>
      </w:pPr>
      <w:r>
        <w:t xml:space="preserve">Each chapter of the Book of Existence is unveiled through divine revelation, adapting to the spiritual needs of each age. Revelation is the disclosure of truth or knowledge from God. It is the process by which God’s command is unveiled, renewing itself in every age. Given that one of God’s attributes is Subtlety, it could be difficult for a person to believe in revelation when it happens. There are many traditions that teach that their revelation is the final revelation for the rest of time. There are other traditions where it is taught that because the recent revelation is true, prior revelations could not have been true.</w:t>
      </w:r>
    </w:p>
    <w:p>
      <w:pPr>
        <w:pStyle w:val="BodyText"/>
      </w:pPr>
      <w:r>
        <w:t xml:space="preserve">This is the Revelation around which evidence and proof circle.</w:t>
      </w:r>
      <w:r>
        <w:rPr>
          <w:rStyle w:val="FootnoteReference"/>
        </w:rPr>
        <w:footnoteReference w:id="186"/>
      </w:r>
      <w:r>
        <w:t xml:space="preserve"> </w:t>
      </w:r>
      <w:r>
        <w:t xml:space="preserve">God does what He wills and decrees what He desires. This is a test of faith for many.</w:t>
      </w:r>
      <w:r>
        <w:t xml:space="preserve"> </w:t>
      </w:r>
      <w:r>
        <w:t xml:space="preserve">“</w:t>
      </w:r>
      <w:r>
        <w:t xml:space="preserve">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t xml:space="preserve">”</w:t>
      </w:r>
      <w:r>
        <w:rPr>
          <w:rStyle w:val="FootnoteReference"/>
        </w:rPr>
        <w:footnoteReference w:id="187"/>
      </w:r>
      <w:r>
        <w:t xml:space="preserve"> </w:t>
      </w:r>
      <w:r>
        <w:t xml:space="preserve">Revelation itself is the proof of divine authority, not whether people accept it.</w:t>
      </w:r>
    </w:p>
    <w:p>
      <w:pPr>
        <w:pStyle w:val="BodyText"/>
      </w:pPr>
      <w:r>
        <w:t xml:space="preserve">The Kitáb-i-Aqdas describes this revelation as the most exalted and most wondrous.</w:t>
      </w:r>
      <w:r>
        <w:t xml:space="preserve"> </w:t>
      </w:r>
      <w:r>
        <w:t xml:space="preserve">“</w:t>
      </w:r>
      <w:r>
        <w:t xml:space="preserve">In every subsequent manifestation, the appearance of God is the most exalted.</w:t>
      </w:r>
      <w:r>
        <w:t xml:space="preserve">”</w:t>
      </w:r>
      <w:r>
        <w:rPr>
          <w:rStyle w:val="FootnoteReference"/>
        </w:rPr>
        <w:footnoteReference w:id="188"/>
      </w:r>
      <w:r>
        <w:t xml:space="preserve"> </w:t>
      </w:r>
      <w:r>
        <w:t xml:space="preserve">This does not take away from the station of prior revelations, and future revelations will also be most exalted and wondrous when compared to this current one.</w:t>
      </w:r>
    </w:p>
    <w:bookmarkEnd w:id="189"/>
    <w:bookmarkStart w:id="191" w:name="the-book"/>
    <w:p>
      <w:pPr>
        <w:pStyle w:val="Heading3"/>
      </w:pPr>
      <w:r>
        <w:t xml:space="preserve">5.2.2 The Book</w:t>
      </w:r>
    </w:p>
    <w:p>
      <w:pPr>
        <w:pStyle w:val="FirstParagraph"/>
      </w:pPr>
      <w:r>
        <w:t xml:space="preserve">Throughout the Kitáb-i-Aqdas, Bahá’u’lláh refers to the Book. Bahá’u’lláh uses the word Book to describe various aspects of creation and the knowledge God has. Often in the Kitáb-i-Aqdas, the Book without any other description refers to the Kitáb-i-Aqdas itself.</w:t>
      </w:r>
      <w:r>
        <w:t xml:space="preserve"> </w:t>
      </w:r>
      <w:r>
        <w:t xml:space="preserve">“</w:t>
      </w:r>
      <w:r>
        <w:t xml:space="preserve">This blessed verse was mentioned: His Exalted Majesty said, “Refer what you do not understand from the Book to the branch that has branched from this mighty root.</w:t>
      </w:r>
      <w:r>
        <w:t xml:space="preserve">”</w:t>
      </w:r>
      <w:r>
        <w:t xml:space="preserve"> </w:t>
      </w:r>
      <w:r>
        <w:t xml:space="preserve">The</w:t>
      </w:r>
      <w:r>
        <w:t xml:space="preserve"> </w:t>
      </w:r>
      <w:r>
        <w:t xml:space="preserve">‘</w:t>
      </w:r>
      <w:r>
        <w:t xml:space="preserve">Book</w:t>
      </w:r>
      <w:r>
        <w:t xml:space="preserve">’</w:t>
      </w:r>
      <w:r>
        <w:t xml:space="preserve"> </w:t>
      </w:r>
      <w:r>
        <w:t xml:space="preserve">refers to the Kitáb-i-Aqdas, and the</w:t>
      </w:r>
      <w:r>
        <w:t xml:space="preserve"> </w:t>
      </w:r>
      <w:r>
        <w:t xml:space="preserve">‘</w:t>
      </w:r>
      <w:r>
        <w:t xml:space="preserve">branch that has branched off from this mighty root</w:t>
      </w:r>
      <w:r>
        <w:t xml:space="preserve">’</w:t>
      </w:r>
      <w:r>
        <w:t xml:space="preserve"> </w:t>
      </w:r>
      <w:r>
        <w:t xml:space="preserve">refers to the Aghṣán.”</w:t>
      </w:r>
      <w:r>
        <w:rPr>
          <w:rStyle w:val="FootnoteReference"/>
        </w:rPr>
        <w:footnoteReference w:id="190"/>
      </w:r>
    </w:p>
    <w:p>
      <w:pPr>
        <w:pStyle w:val="BodyText"/>
      </w:pPr>
      <w:r>
        <w:t xml:space="preserve">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pPr>
        <w:pStyle w:val="BodyText"/>
      </w:pPr>
      <w:r>
        <w:rPr>
          <w:iCs/>
          <w:i/>
        </w:rPr>
        <w:t xml:space="preserve">Reflection: Do I treat divine command as an intrusion, or as an expression of love that gives shape to life?</w:t>
      </w:r>
    </w:p>
    <w:p>
      <w:pPr>
        <w:pStyle w:val="BodyText"/>
      </w:pPr>
      <w:r>
        <w:t xml:space="preserve">To see why the Command matters now, we must first see how it has always moved through history.</w:t>
      </w:r>
    </w:p>
    <w:bookmarkEnd w:id="191"/>
    <w:bookmarkEnd w:id="192"/>
    <w:bookmarkStart w:id="209" w:name="X00691c18c60aad0e789633527fa741ceaaa8610"/>
    <w:p>
      <w:pPr>
        <w:pStyle w:val="Heading2"/>
      </w:pPr>
      <w:r>
        <w:t xml:space="preserve">5.3 The Continuity of Divine Command Across Dispensations</w:t>
      </w:r>
    </w:p>
    <w:p>
      <w:pPr>
        <w:pStyle w:val="FirstParagraph"/>
      </w:pPr>
      <w:r>
        <w:t xml:space="preserve">When the King of Austria, a Christian, visited the al-Aqṣá Mosque, a Muslim site, in Jerusalem, a Jewish holy place, Bahá’u’lláh tells him that he passed by the Light of Divine Unity coming from the prison of ’Akká.</w:t>
      </w:r>
      <w:r>
        <w:rPr>
          <w:rStyle w:val="FootnoteReference"/>
        </w:rPr>
        <w:footnoteReference w:id="193"/>
      </w:r>
      <w:r>
        <w:t xml:space="preserve"> </w:t>
      </w:r>
      <w:r>
        <w:t xml:space="preserve">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pPr>
        <w:pStyle w:val="BodyText"/>
      </w:pPr>
      <w:r>
        <w:t xml:space="preserve">The prior commands and prior books span across history, but not all words claiming to be God’s book are God’s book. For example, Bahá’u’lláh says the Qur’án, the Gospel, the Psalms, the Torah, and the Bayán</w:t>
      </w:r>
      <w:r>
        <w:rPr>
          <w:rStyle w:val="FootnoteReference"/>
        </w:rPr>
        <w:footnoteReference w:id="194"/>
      </w:r>
      <w:r>
        <w:t xml:space="preserve"> </w:t>
      </w:r>
      <w:r>
        <w:t xml:space="preserve">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between the command coming through a Manifestation of God and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95"/>
      </w:r>
      <w:r>
        <w:t xml:space="preserve"> </w:t>
      </w:r>
      <w:r>
        <w:t xml:space="preserve">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me. Belief in the command means acknowledging that God is the source of all truth before, during, and after today. Bahá’u’lláh warns in the Kitáb-i-Aqdas,</w:t>
      </w:r>
      <w:r>
        <w:t xml:space="preserve"> </w:t>
      </w:r>
      <w:r>
        <w:t xml:space="preserve">“</w:t>
      </w:r>
      <w:r>
        <w:t xml:space="preserve">The books of the world and all the scriptures therein avail you nothing today, except by this Book, which speaks at the pivot of creation.</w:t>
      </w:r>
      <w:r>
        <w:t xml:space="preserve">”</w:t>
      </w:r>
      <w:r>
        <w:rPr>
          <w:rStyle w:val="FootnoteReference"/>
        </w:rPr>
        <w:footnoteReference w:id="196"/>
      </w:r>
      <w:r>
        <w:t xml:space="preserve"> </w:t>
      </w:r>
      <w:r>
        <w:t xml:space="preserve">Through the name of God All-Encompassing, the Command of Today encompasses and surpasses all the Commands of Yesterday. This is a vital belief on the path of Divine Unity.</w:t>
      </w:r>
    </w:p>
    <w:bookmarkStart w:id="200" w:name="the-bayán-as-paradise-awaiting-its-lord"/>
    <w:p>
      <w:pPr>
        <w:pStyle w:val="Heading3"/>
      </w:pPr>
      <w:r>
        <w:t xml:space="preserve">5.3.1 The Bayán as Paradise Awaiting Its Lord</w:t>
      </w:r>
    </w:p>
    <w:p>
      <w:pPr>
        <w:pStyle w:val="FirstParagraph"/>
      </w:pPr>
      <w:r>
        <w:t xml:space="preserve">The Persian and Arabic Bayán were revealed by the Báb around 1848. Together they are known simply as the Bayán, whose very name means</w:t>
      </w:r>
      <w:r>
        <w:t xml:space="preserve"> </w:t>
      </w:r>
      <w:r>
        <w:t xml:space="preserve">“</w:t>
      </w:r>
      <w:r>
        <w:t xml:space="preserve">Paradise.</w:t>
      </w:r>
      <w:r>
        <w:t xml:space="preserve">”</w:t>
      </w:r>
      <w:r>
        <w:t xml:space="preserve"> </w:t>
      </w:r>
      <w:r>
        <w:t xml:space="preserve">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pPr>
        <w:pStyle w:val="BodyText"/>
      </w:pPr>
      <w:r>
        <w:t xml:space="preserve">The Báb structured His revelation with intentional incompleteness. It was designed for 19 Unities of 19 Gates, 361 sections total. Yet what paradise could be complete without its Lord? It is the Persian Bayán which prepares a garden whose gates would only open when</w:t>
      </w:r>
      <w:r>
        <w:t xml:space="preserve"> </w:t>
      </w:r>
      <w:r>
        <w:t xml:space="preserve">“</w:t>
      </w:r>
      <w:r>
        <w:t xml:space="preserve">He Whom God Shall Make Manifest</w:t>
      </w:r>
      <w:r>
        <w:t xml:space="preserve">”</w:t>
      </w:r>
      <w:r>
        <w:t xml:space="preserve"> </w:t>
      </w:r>
      <w:r>
        <w:t xml:space="preserve">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w:t>
      </w:r>
      <w:r>
        <w:t xml:space="preserve"> </w:t>
      </w:r>
      <w:r>
        <w:t xml:space="preserve">“</w:t>
      </w:r>
      <w:r>
        <w:t xml:space="preserve">I counsel all followers of the Bayán: If, at the appearance of Him Whom God will make manifest, you are all granted success to attain the greatest paradise and the supreme encounter, then blessed are you, thrice blessed!</w:t>
      </w:r>
      <w:r>
        <w:t xml:space="preserve">”</w:t>
      </w:r>
      <w:r>
        <w:rPr>
          <w:rStyle w:val="FootnoteReference"/>
        </w:rPr>
        <w:footnoteReference w:id="197"/>
      </w:r>
    </w:p>
    <w:p>
      <w:pPr>
        <w:pStyle w:val="BodyText"/>
      </w:pPr>
      <w:r>
        <w:t xml:space="preserve">The laws of paradise are not complete until the Master of paradise gives them life. The Báb declared:</w:t>
      </w:r>
      <w:r>
        <w:t xml:space="preserve"> </w:t>
      </w:r>
      <w:r>
        <w:t xml:space="preserve">“</w:t>
      </w:r>
      <w:r>
        <w:t xml:space="preserve">In Him Whom God will make manifest, all the ordinances of the Bayán are fulfilled. He is none other than the Point of the Bayán.</w:t>
      </w:r>
      <w:r>
        <w:t xml:space="preserve">”</w:t>
      </w:r>
      <w:r>
        <w:rPr>
          <w:rStyle w:val="FootnoteReference"/>
        </w:rPr>
        <w:footnoteReference w:id="198"/>
      </w:r>
      <w:r>
        <w:t xml:space="preserve"> </w:t>
      </w:r>
      <w:r>
        <w:t xml:space="preserve">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pPr>
        <w:pStyle w:val="BodyText"/>
      </w:pPr>
      <w:r>
        <w:t xml:space="preserve">“</w:t>
      </w:r>
      <w:r>
        <w:t xml:space="preserve">The fruit of this is that, on the Day of Resurrection, no soul should remain veiled from the commands of He Whom God shall make manifest. For if He commands over all existence, His command is the command of God, yesterday, today, and forever.</w:t>
      </w:r>
      <w:r>
        <w:t xml:space="preserve">”</w:t>
      </w:r>
      <w:r>
        <w:rPr>
          <w:rStyle w:val="FootnoteReference"/>
        </w:rPr>
        <w:footnoteReference w:id="199"/>
      </w:r>
      <w:r>
        <w:t xml:space="preserve"> </w:t>
      </w:r>
      <w:r>
        <w:t xml:space="preserve">The Lord of paradise has arrived. Let us turn to the Kitáb-i-Aqdas.</w:t>
      </w:r>
    </w:p>
    <w:bookmarkEnd w:id="200"/>
    <w:bookmarkStart w:id="208" w:name="the-most-great-command"/>
    <w:p>
      <w:pPr>
        <w:pStyle w:val="Heading3"/>
      </w:pPr>
      <w:r>
        <w:t xml:space="preserve">5.3.2 The Most Great Command</w:t>
      </w:r>
    </w:p>
    <w:p>
      <w:pPr>
        <w:pStyle w:val="FirstParagraph"/>
      </w:pPr>
      <w:r>
        <w:t xml:space="preserve">Bahá’u’lláh describes the Command of today as the Most Great Order, the Most Great Law, the Most Great Proof, and the Most Great Balance. He says,</w:t>
      </w:r>
      <w:r>
        <w:t xml:space="preserve"> </w:t>
      </w:r>
      <w:r>
        <w:t xml:space="preserve">“</w:t>
      </w:r>
      <w:r>
        <w:t xml:space="preserve">The order has been disturbed by this Most Great Order, and the arrangement has been altered by this wondrous Revelation, the like of which the eye of creation has never witnessed.</w:t>
      </w:r>
      <w:r>
        <w:t xml:space="preserve">”</w:t>
      </w:r>
      <w:r>
        <w:rPr>
          <w:rStyle w:val="FootnoteReference"/>
        </w:rPr>
        <w:footnoteReference w:id="201"/>
      </w:r>
      <w:r>
        <w:t xml:space="preserve"> </w:t>
      </w:r>
      <w:r>
        <w:t xml:space="preserve">This is a testament to the fact that there are good things from the past worth keeping, which can provide a positive contribution to the future. It is also a testament to the fact that there is a need for the old to be rearranged and altered in a new and substantial way. Progress cannot happen if we hold onto the old ways of doing things. Progress requires a belief that God’s religion is progressively unfolding and adapting to the needs of different ages.</w:t>
      </w:r>
    </w:p>
    <w:p>
      <w:pPr>
        <w:pStyle w:val="BodyText"/>
      </w:pPr>
      <w:r>
        <w:t xml:space="preserve">When the Kitáb-i-Aqdas declares that</w:t>
      </w:r>
      <w:r>
        <w:t xml:space="preserve"> </w:t>
      </w:r>
      <w:r>
        <w:t xml:space="preserve">‘</w:t>
      </w:r>
      <w:r>
        <w:t xml:space="preserve">the order has been disturbed by this Most Great Order</w:t>
      </w:r>
      <w:r>
        <w:t xml:space="preserve">’</w:t>
      </w:r>
      <w:r>
        <w:t xml:space="preserve">,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pPr>
        <w:pStyle w:val="BodyText"/>
      </w:pPr>
      <w:r>
        <w:t xml:space="preserve">The Most Great Proof testifies to the truthfulness of this claim.</w:t>
      </w:r>
      <w:r>
        <w:t xml:space="preserve"> </w:t>
      </w:r>
      <w:r>
        <w:t xml:space="preserve">“</w:t>
      </w:r>
      <w:r>
        <w:t xml:space="preserve">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t xml:space="preserve">”</w:t>
      </w:r>
      <w:r>
        <w:rPr>
          <w:rStyle w:val="FootnoteReference"/>
        </w:rPr>
        <w:footnoteReference w:id="202"/>
      </w:r>
      <w:r>
        <w:t xml:space="preserve"> </w:t>
      </w:r>
      <w:r>
        <w:t xml:space="preserve">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pPr>
        <w:pStyle w:val="BodyText"/>
      </w:pPr>
      <w:r>
        <w:t xml:space="preserve">This is because of the Command being the Most Great Balance and Most Great Law. The balance cannot be measured by prior rules and sciences which existed yesterday.</w:t>
      </w:r>
      <w:r>
        <w:rPr>
          <w:rStyle w:val="FootnoteReference"/>
        </w:rPr>
        <w:footnoteReference w:id="203"/>
      </w:r>
      <w:r>
        <w:t xml:space="preserve"> </w:t>
      </w:r>
      <w:r>
        <w:t xml:space="preserve">The Balance fulfills the prophecies of old,</w:t>
      </w:r>
      <w:r>
        <w:rPr>
          <w:rStyle w:val="FootnoteReference"/>
        </w:rPr>
        <w:footnoteReference w:id="204"/>
      </w:r>
      <w:r>
        <w:t xml:space="preserve"> </w:t>
      </w:r>
      <w:r>
        <w:t xml:space="preserve">the Covenant of God, and is the balance of justice. When the balance of justice is set up on the Day of Resurrection, everyone will be given their due.</w:t>
      </w:r>
      <w:r>
        <w:rPr>
          <w:rStyle w:val="FootnoteReference"/>
        </w:rPr>
        <w:footnoteReference w:id="205"/>
      </w:r>
      <w:r>
        <w:t xml:space="preserve"> </w:t>
      </w:r>
      <w:r>
        <w:t xml:space="preserve">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206"/>
      </w:r>
      <w:r>
        <w:t xml:space="preserve"> </w:t>
      </w:r>
      <w:r>
        <w:t xml:space="preserve">not just for a select few. It is the standard of judgment for all today, not only for tomorrow.</w:t>
      </w:r>
    </w:p>
    <w:p>
      <w:pPr>
        <w:pStyle w:val="BodyText"/>
      </w:pPr>
      <w:r>
        <w:t xml:space="preserve">“</w:t>
      </w:r>
      <w:r>
        <w:t xml:space="preserve">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t xml:space="preserve">”</w:t>
      </w:r>
      <w:r>
        <w:rPr>
          <w:rStyle w:val="FootnoteReference"/>
        </w:rPr>
        <w:footnoteReference w:id="207"/>
      </w:r>
    </w:p>
    <w:p>
      <w:pPr>
        <w:pStyle w:val="BodyText"/>
      </w:pPr>
      <w:r>
        <w:rPr>
          <w:iCs/>
          <w:i/>
        </w:rPr>
        <w:t xml:space="preserve">Reflection: Do I recognize divine authority as living guidance, or do I only accept it when it agrees with what I already prefer?</w:t>
      </w:r>
    </w:p>
    <w:p>
      <w:pPr>
        <w:pStyle w:val="BodyText"/>
      </w:pPr>
      <w:r>
        <w:t xml:space="preserve">If the Command is truly from God, it must also illuminate the mind and awaken understanding.</w:t>
      </w:r>
    </w:p>
    <w:bookmarkEnd w:id="208"/>
    <w:bookmarkEnd w:id="209"/>
    <w:bookmarkStart w:id="213" w:name="the-command-is-manifestations-of-light"/>
    <w:p>
      <w:pPr>
        <w:pStyle w:val="Heading2"/>
      </w:pPr>
      <w:r>
        <w:t xml:space="preserve">5.4 The Command is Manifestations of Light</w:t>
      </w:r>
    </w:p>
    <w:p>
      <w:pPr>
        <w:pStyle w:val="FirstParagraph"/>
      </w:pPr>
      <w:r>
        <w:t xml:space="preserve">The Kitáb-i-Aqdas utilizes many forms of symbolism to describe the Command and Revelation of God. Many of these names and symbols focus on how the Command manifests the Light, such as that associated with the Day of Resurrection. The Command is the Sun of Wisdom and the Sun of Explanation. Within the laws and counsel, there are pathways to understanding, the application of knowledge, and explanations and interpretations.</w:t>
      </w:r>
    </w:p>
    <w:p>
      <w:pPr>
        <w:pStyle w:val="BodyText"/>
      </w:pPr>
      <w:r>
        <w:t xml:space="preserve">The Sun emerges from the Sidratu’l-Muntahá at dawn. The Command is the dawning place of the knowledge of God and is adorned with the Seal of the Breaker of the Dawn, who speaks between the heavens and the Earth.</w:t>
      </w:r>
      <w:r>
        <w:rPr>
          <w:rStyle w:val="FootnoteReference"/>
        </w:rPr>
        <w:footnoteReference w:id="210"/>
      </w:r>
      <w:r>
        <w:t xml:space="preserve"> </w:t>
      </w:r>
      <w:r>
        <w:t xml:space="preserve">This affirms that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211"/>
      </w:r>
      <w:r>
        <w:t xml:space="preserve"> </w:t>
      </w:r>
      <w:r>
        <w:t xml:space="preserve">While final and unalterable, it is also new and as fresh as the first days of springtime.</w:t>
      </w:r>
    </w:p>
    <w:p>
      <w:pPr>
        <w:pStyle w:val="BodyText"/>
      </w:pPr>
      <w:r>
        <w:t xml:space="preserve">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pPr>
        <w:pStyle w:val="BodyText"/>
      </w:pPr>
      <w:r>
        <w:t xml:space="preserve">“</w:t>
      </w:r>
      <w:r>
        <w:t xml:space="preserve">This is a Book that has become the Lamp of Eternity for the world and its most upright Path among the peoples. Say: It is the Dawning-Place of the knowledge of God, if you but knew, and the Rising-Point of the commandments of God, if you but recognized.</w:t>
      </w:r>
      <w:r>
        <w:t xml:space="preserve">”</w:t>
      </w:r>
      <w:r>
        <w:rPr>
          <w:rStyle w:val="FootnoteReference"/>
        </w:rPr>
        <w:footnoteReference w:id="212"/>
      </w:r>
    </w:p>
    <w:p>
      <w:pPr>
        <w:pStyle w:val="BodyText"/>
      </w:pPr>
      <w:r>
        <w:rPr>
          <w:iCs/>
          <w:i/>
        </w:rPr>
        <w:t xml:space="preserve">Reflection: Do I see the Command as something that forms me, or as something I merely study from a distance?</w:t>
      </w:r>
    </w:p>
    <w:p>
      <w:pPr>
        <w:pStyle w:val="BodyText"/>
      </w:pPr>
      <w:r>
        <w:t xml:space="preserve">Light is not only meant to be seen, but to be walked in.</w:t>
      </w:r>
    </w:p>
    <w:bookmarkEnd w:id="213"/>
    <w:bookmarkStart w:id="228" w:name="the-command-nurtures-us"/>
    <w:p>
      <w:pPr>
        <w:pStyle w:val="Heading2"/>
      </w:pPr>
      <w:r>
        <w:t xml:space="preserve">5.5 The Command Nurtures Us</w:t>
      </w:r>
    </w:p>
    <w:p>
      <w:pPr>
        <w:pStyle w:val="FirstParagraph"/>
      </w:pPr>
      <w:r>
        <w:t xml:space="preserve">“</w:t>
      </w:r>
      <w:r>
        <w:t xml:space="preserve">O Greatest Sea! Sprinkle upon the nations that which you have been commanded by the Ancient Lord, and adorn the temples of humankind with the fabric of the laws through which hearts may rejoice and eyes be brightened.</w:t>
      </w:r>
      <w:r>
        <w:t xml:space="preserve">”</w:t>
      </w:r>
      <w:r>
        <w:rPr>
          <w:rStyle w:val="FootnoteReference"/>
        </w:rPr>
        <w:footnoteReference w:id="214"/>
      </w:r>
    </w:p>
    <w:p>
      <w:pPr>
        <w:pStyle w:val="BodyText"/>
      </w:pPr>
      <w:r>
        <w:t xml:space="preserve">When you look at a fabric, you can see that the finest fabrics have a high density of interwoven threads which provide strength, durability, and protection. A fine fabric provides comfort and beauty, being able to help a person uniquely express their own personality and character. The fabric of laws serves a similar purpose. They are to adorn the temple of humankind, the same temple used to elevate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215"/>
      </w:r>
      <w:r>
        <w:t xml:space="preserve"> </w:t>
      </w:r>
      <w:r>
        <w:t xml:space="preserve">helping others to recognize the beauty of the Command.</w:t>
      </w:r>
    </w:p>
    <w:p>
      <w:pPr>
        <w:pStyle w:val="BodyText"/>
      </w:pPr>
      <w:r>
        <w:t xml:space="preserve">“</w:t>
      </w:r>
      <w:r>
        <w:t xml:space="preserve">From My laws, the fragrance of My garment is diffused.</w:t>
      </w:r>
      <w:r>
        <w:t xml:space="preserve">”</w:t>
      </w:r>
      <w:r>
        <w:rPr>
          <w:rStyle w:val="FootnoteReference"/>
        </w:rPr>
        <w:footnoteReference w:id="216"/>
      </w:r>
      <w:r>
        <w:t xml:space="preserve"> </w:t>
      </w:r>
      <w:r>
        <w:t xml:space="preserve">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w:t>
      </w:r>
      <w:r>
        <w:t xml:space="preserve"> </w:t>
      </w:r>
      <w:r>
        <w:t xml:space="preserve">“</w:t>
      </w:r>
      <w:r>
        <w:t xml:space="preserve">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t xml:space="preserve">”</w:t>
      </w:r>
      <w:r>
        <w:rPr>
          <w:rStyle w:val="FootnoteReference"/>
        </w:rPr>
        <w:footnoteReference w:id="217"/>
      </w:r>
      <w:r>
        <w:t xml:space="preserve"> </w:t>
      </w:r>
      <w:r>
        <w:t xml:space="preserve">The nectar is also described as the nectar of life.</w:t>
      </w:r>
      <w:r>
        <w:rPr>
          <w:rStyle w:val="FootnoteReference"/>
        </w:rPr>
        <w:footnoteReference w:id="218"/>
      </w:r>
      <w:r>
        <w:t xml:space="preserve"> </w:t>
      </w:r>
      <w:r>
        <w:t xml:space="preserve">Anyone who wears this fabric of laws will be examples of a loving and nurturing justice and life.</w:t>
      </w:r>
    </w:p>
    <w:p>
      <w:pPr>
        <w:pStyle w:val="BodyText"/>
      </w:pPr>
      <w:r>
        <w:t xml:space="preserve">Bahá’u’lláh tells us not to consider the Command and the Kitáb-i-Aqdas as merely laws, but as the choice sealed wine.</w:t>
      </w:r>
      <w:r>
        <w:rPr>
          <w:rStyle w:val="FootnoteReference"/>
        </w:rPr>
        <w:footnoteReference w:id="219"/>
      </w:r>
      <w:r>
        <w:t xml:space="preserve"> </w:t>
      </w:r>
      <w:r>
        <w:t xml:space="preserve">Drinking from this wine, much like how the disciples of Jesus did in the Last Supper, will cause every bone to be set in motion with life.</w:t>
      </w:r>
      <w:r>
        <w:rPr>
          <w:rStyle w:val="FootnoteReference"/>
        </w:rPr>
        <w:footnoteReference w:id="220"/>
      </w:r>
      <w:r>
        <w:t xml:space="preserve"> </w:t>
      </w:r>
      <w:r>
        <w:t xml:space="preserve">Imagine the fragrance of such a wine. Who would not want to inhale it and drink it? Who would not want others to inhale it and drink it?</w:t>
      </w:r>
    </w:p>
    <w:p>
      <w:pPr>
        <w:pStyle w:val="BodyText"/>
      </w:pPr>
      <w:r>
        <w:t xml:space="preserve">The Command is also often referred to in terms of water. Water has always been considered a purifying element. The Báb says,</w:t>
      </w:r>
      <w:r>
        <w:t xml:space="preserve"> </w:t>
      </w:r>
      <w:r>
        <w:t xml:space="preserve">“</w:t>
      </w:r>
      <w:r>
        <w:t xml:space="preserve">it symbolizes the radiance of the Sun of His bounty.</w:t>
      </w:r>
      <w:r>
        <w:t xml:space="preserve">”</w:t>
      </w:r>
      <w:r>
        <w:rPr>
          <w:rStyle w:val="FootnoteReference"/>
        </w:rPr>
        <w:footnoteReference w:id="221"/>
      </w:r>
      <w:r>
        <w:t xml:space="preserve"> </w:t>
      </w:r>
      <w:r>
        <w:t xml:space="preserve">Those who act in accordance with the Command are drinking from the Kawthar, the abundant river from paradise, of life.</w:t>
      </w:r>
      <w:r>
        <w:rPr>
          <w:rStyle w:val="FootnoteReference"/>
        </w:rPr>
        <w:footnoteReference w:id="222"/>
      </w:r>
      <w:r>
        <w:t xml:space="preserve"> </w:t>
      </w:r>
      <w:r>
        <w:t xml:space="preserve">These pure and flowing waters from the clear stream provide prosperity when drunk with the belief and remembrance of God.</w:t>
      </w:r>
      <w:r>
        <w:rPr>
          <w:rStyle w:val="FootnoteReference"/>
        </w:rPr>
        <w:footnoteReference w:id="223"/>
      </w:r>
      <w:r>
        <w:t xml:space="preserve"> </w:t>
      </w:r>
      <w:r>
        <w:t xml:space="preserve">The water may be provided as showers of grace</w:t>
      </w:r>
      <w:r>
        <w:rPr>
          <w:rStyle w:val="FootnoteReference"/>
        </w:rPr>
        <w:footnoteReference w:id="224"/>
      </w:r>
      <w:r>
        <w:t xml:space="preserve"> </w:t>
      </w:r>
      <w:r>
        <w:t xml:space="preserve">poured down from heaven as a favor from God to us. These waters act as a salvation and a great gift to us.</w:t>
      </w:r>
    </w:p>
    <w:p>
      <w:pPr>
        <w:pStyle w:val="BodyText"/>
      </w:pPr>
      <w:r>
        <w:t xml:space="preserve">We are also nurtured by the Command coming forth from the Most Great Ocean. Within the ocean are pearls of knowledge and wisdom.</w:t>
      </w:r>
      <w:r>
        <w:rPr>
          <w:rStyle w:val="FootnoteReference"/>
        </w:rPr>
        <w:footnoteReference w:id="225"/>
      </w:r>
      <w:r>
        <w:t xml:space="preserve"> </w:t>
      </w:r>
      <w:r>
        <w:t xml:space="preserve">The ocean serves as a great metaphor for the bounties of God. Depending on the depths one is able to dive to, there are incredible amounts of knowledge, wisdom, and mysteries waiting to be attained. These pearls are valuable, but as they can only be had through diving, it requires effort and work to reach them. These are not just free gifts.</w:t>
      </w:r>
    </w:p>
    <w:p>
      <w:pPr>
        <w:pStyle w:val="BodyText"/>
      </w:pPr>
      <w:r>
        <w:t xml:space="preserve">“</w:t>
      </w:r>
      <w:r>
        <w:t xml:space="preserve">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t xml:space="preserve">”</w:t>
      </w:r>
      <w:r>
        <w:rPr>
          <w:rStyle w:val="FootnoteReference"/>
        </w:rPr>
        <w:footnoteReference w:id="226"/>
      </w:r>
      <w:r>
        <w:t xml:space="preserve"> </w:t>
      </w:r>
      <w:r>
        <w:t xml:space="preserve">As this nurture is from God in the role of Divine Parent</w:t>
      </w:r>
      <w:r>
        <w:rPr>
          <w:iCs/>
          <w:i/>
          <w:bCs/>
          <w:b/>
        </w:rPr>
        <w:t xml:space="preserve">,</w:t>
      </w:r>
      <w:r>
        <w:t xml:space="preserve"> </w:t>
      </w:r>
      <w:r>
        <w:t xml:space="preserve">out of love for us, we must also</w:t>
      </w:r>
      <w:r>
        <w:t xml:space="preserve"> </w:t>
      </w:r>
      <w:r>
        <w:t xml:space="preserve">“</w:t>
      </w:r>
      <w:r>
        <w:t xml:space="preserve">carry out My ordinances out of love for My beauty.</w:t>
      </w:r>
      <w:r>
        <w:t xml:space="preserve">”</w:t>
      </w:r>
      <w:r>
        <w:rPr>
          <w:rStyle w:val="FootnoteReference"/>
        </w:rPr>
        <w:footnoteReference w:id="227"/>
      </w:r>
    </w:p>
    <w:p>
      <w:pPr>
        <w:pStyle w:val="BodyText"/>
      </w:pPr>
      <w:r>
        <w:t xml:space="preserve">Belief in the commands of God is belief in the love of God. Belief in the commands of God also requires a love for God and the beauty of God’s creation.</w:t>
      </w:r>
    </w:p>
    <w:p>
      <w:pPr>
        <w:pStyle w:val="BodyText"/>
      </w:pPr>
      <w:r>
        <w:rPr>
          <w:iCs/>
          <w:i/>
        </w:rPr>
        <w:t xml:space="preserve">Reflection: Do I mistake freedom for the absence of restraint, or do I see freedom as the power to live with dignity and purpose?</w:t>
      </w:r>
    </w:p>
    <w:p>
      <w:pPr>
        <w:pStyle w:val="BodyText"/>
      </w:pPr>
      <w:r>
        <w:t xml:space="preserve">To understand liberation, we must first understand what the Command is protecting.</w:t>
      </w:r>
    </w:p>
    <w:bookmarkEnd w:id="228"/>
    <w:bookmarkStart w:id="234" w:name="the-command-provides-true-liberation"/>
    <w:p>
      <w:pPr>
        <w:pStyle w:val="Heading2"/>
      </w:pPr>
      <w:r>
        <w:t xml:space="preserve">5.6 The Command Provides True Liberation</w:t>
      </w:r>
    </w:p>
    <w:p>
      <w:pPr>
        <w:pStyle w:val="FirstParagraph"/>
      </w:pPr>
      <w:r>
        <w:t xml:space="preserve">The laws of the Command serve mostly as bounds.</w:t>
      </w:r>
      <w:r>
        <w:rPr>
          <w:rStyle w:val="FootnoteReference"/>
        </w:rPr>
        <w:footnoteReference w:id="229"/>
      </w:r>
      <w:r>
        <w:t xml:space="preserve"> </w:t>
      </w:r>
      <w:r>
        <w:t xml:space="preserve">These boundaries serve as a framework whereupon the soul may be elevated and the world within which we live can better manifest the spiritual qualities of heaven. This does not mean we should expect some type of fraudulent utopia. All of this requires work and requires skill in navigating these boundaries. These boundaries are not particularly strict and are the cause of absolute freedom.</w:t>
      </w:r>
      <w:r>
        <w:rPr>
          <w:rStyle w:val="FootnoteReference"/>
        </w:rPr>
        <w:footnoteReference w:id="230"/>
      </w:r>
    </w:p>
    <w:p>
      <w:pPr>
        <w:pStyle w:val="BodyText"/>
      </w:pPr>
      <w:r>
        <w:t xml:space="preserve">In this small sermon about freedom from the Kitáb-i-Aqdas, Bahá’u’lláh says:</w:t>
      </w:r>
    </w:p>
    <w:p>
      <w:pPr>
        <w:pStyle w:val="BlockText"/>
      </w:pPr>
      <w:r>
        <w:t xml:space="preserve">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pPr>
        <w:pStyle w:val="BlockText"/>
      </w:pPr>
      <w:r>
        <w:t xml:space="preserve">124 Observe the people; they are like sheep, in need of a shepherd to protect them—this is indeed an absolute truth. We affirm this in certain contexts but not in others, for We are all-knowing.</w:t>
      </w:r>
    </w:p>
    <w:p>
      <w:pPr>
        <w:pStyle w:val="BlockText"/>
      </w:pPr>
      <w:r>
        <w:t xml:space="preserve">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pPr>
        <w:pStyle w:val="FirstParagraph"/>
      </w:pPr>
      <w:r>
        <w:t xml:space="preserve">True freedom is derived from the protection the Command provides. The Command is a key to God’s mercy,</w:t>
      </w:r>
      <w:r>
        <w:rPr>
          <w:rStyle w:val="FootnoteReference"/>
        </w:rPr>
        <w:footnoteReference w:id="231"/>
      </w:r>
      <w:r>
        <w:t xml:space="preserve"> </w:t>
      </w:r>
      <w:r>
        <w:t xml:space="preserve">helping us unlock new doors of realization and possibility derived from God’s love. These possibilities from true freedom are not solely for the individual.</w:t>
      </w:r>
      <w:r>
        <w:t xml:space="preserve"> </w:t>
      </w:r>
      <w:r>
        <w:t xml:space="preserve">“</w:t>
      </w:r>
      <w:r>
        <w:t xml:space="preserve">The ordinances of God are the greatest means for the order of the world and the preservation of nations.</w:t>
      </w:r>
      <w:r>
        <w:t xml:space="preserve">”</w:t>
      </w:r>
      <w:r>
        <w:rPr>
          <w:rStyle w:val="FootnoteReference"/>
        </w:rPr>
        <w:footnoteReference w:id="232"/>
      </w:r>
      <w:r>
        <w:t xml:space="preserve"> </w:t>
      </w:r>
      <w:r>
        <w:t xml:space="preserve">The scope of the Command is great. The Command is not merely for individual belief, but is also designed for the order of the world.</w:t>
      </w:r>
    </w:p>
    <w:p>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pPr>
        <w:pStyle w:val="BodyText"/>
      </w:pPr>
      <w:r>
        <w:t xml:space="preserve">“</w:t>
      </w:r>
      <w:r>
        <w:t xml:space="preserve">‘</w:t>
      </w:r>
      <w:r>
        <w:t xml:space="preserve">There is none other God but Me, the One, the All-Knowing, the All-Informed.</w:t>
      </w:r>
      <w:r>
        <w:t xml:space="preserve">’</w:t>
      </w:r>
      <w:r>
        <w:t xml:space="preserve"> </w:t>
      </w:r>
      <w:r>
        <w:t xml:space="preserve">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t xml:space="preserve">”</w:t>
      </w:r>
      <w:r>
        <w:rPr>
          <w:rStyle w:val="FootnoteReference"/>
        </w:rPr>
        <w:footnoteReference w:id="233"/>
      </w:r>
    </w:p>
    <w:p>
      <w:pPr>
        <w:pStyle w:val="BodyText"/>
      </w:pPr>
      <w:r>
        <w:rPr>
          <w:iCs/>
          <w:i/>
        </w:rPr>
        <w:t xml:space="preserve">Reflection: Do I want the benefits of divine order without accepting the trust and responsibility that make it possible?</w:t>
      </w:r>
    </w:p>
    <w:p>
      <w:pPr>
        <w:pStyle w:val="BodyText"/>
      </w:pPr>
      <w:r>
        <w:t xml:space="preserve">To close this chapter, we can gather its images and claims into a single view of what the Command is, and why it liberates.</w:t>
      </w:r>
    </w:p>
    <w:bookmarkEnd w:id="234"/>
    <w:bookmarkStart w:id="235" w:name="conclusion"/>
    <w:p>
      <w:pPr>
        <w:pStyle w:val="Heading2"/>
      </w:pPr>
      <w:r>
        <w:t xml:space="preserve">5.7 Conclusion</w:t>
      </w:r>
    </w:p>
    <w:p>
      <w:pPr>
        <w:pStyle w:val="FirstParagraph"/>
      </w:pPr>
      <w:r>
        <w:t xml:space="preserve">With the Kitáb-i-Aqdas, the Command of God has been made new. It is more than laws. It is fabric adorning souls, fragrance attracting seekers, wine enlivening bones, water purifying hearts, and light guiding humanity. The Command is not restriction but revelation, not burden but bounty, not constraint but freedom’s foundation.</w:t>
      </w:r>
    </w:p>
    <w:p>
      <w:pPr>
        <w:pStyle w:val="BodyText"/>
      </w:pPr>
      <w:r>
        <w:t xml:space="preserve">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pPr>
        <w:pStyle w:val="BodyText"/>
      </w:pPr>
      <w:r>
        <w:t xml:space="preserve">Yet the Command cannot exist without the Commander. To believe in the Command is to believe in the unfolding of God’s will, to see divine order in all things, and to recognize that belief in the Manifestation of God Himself is the foundation upon which all Command rests.</w:t>
      </w:r>
    </w:p>
    <w:p>
      <w:r>
        <w:br w:type="page"/>
      </w:r>
    </w:p>
    <w:bookmarkEnd w:id="235"/>
    <w:bookmarkEnd w:id="236"/>
    <w:bookmarkStart w:id="262" w:name="belief-in-the-manifestation-of-god"/>
    <w:p>
      <w:pPr>
        <w:pStyle w:val="Heading1"/>
      </w:pPr>
      <w:r>
        <w:t xml:space="preserve">6. Belief in the Manifestation of God</w:t>
      </w:r>
    </w:p>
    <w:bookmarkStart w:id="240" w:name="the-station-of-the-manifestation"/>
    <w:p>
      <w:pPr>
        <w:pStyle w:val="Heading2"/>
      </w:pPr>
      <w:r>
        <w:t xml:space="preserve">6.1 The Station of the Manifestation</w:t>
      </w:r>
    </w:p>
    <w:p>
      <w:pPr>
        <w:pStyle w:val="FirstParagraph"/>
      </w:pPr>
      <w:r>
        <w:t xml:space="preserve">In Chapter 1, we explored the various names and attributes of God to help understand what belief in God can encompass. The second group is the Manifestation. The ability for God to manifest Himself to His creation is fundamental for us. Manifestation turns the inaccessible and subtle into more tangible and easier-to-discern aspects of reality. One of the ways God manifests Himself is through humanity. While this flesh is bound by the material world, the soul within it reflects divinity in such a way that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Sidratu’l-Muntahá,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w:t>
      </w:r>
      <w:r>
        <w:t xml:space="preserve"> </w:t>
      </w:r>
      <w:r>
        <w:t xml:space="preserve">“</w:t>
      </w:r>
      <w:r>
        <w:t xml:space="preserve">By Him the Hour has come.</w:t>
      </w:r>
      <w:r>
        <w:t xml:space="preserve">”</w:t>
      </w:r>
      <w:r>
        <w:rPr>
          <w:rStyle w:val="FootnoteReference"/>
        </w:rPr>
        <w:footnoteReference w:id="237"/>
      </w:r>
      <w:r>
        <w:t xml:space="preserve"> </w:t>
      </w:r>
      <w:r>
        <w:t xml:space="preserve">He appears</w:t>
      </w:r>
      <w:r>
        <w:t xml:space="preserve"> </w:t>
      </w:r>
      <w:r>
        <w:t xml:space="preserve">“</w:t>
      </w:r>
      <w:r>
        <w:t xml:space="preserve">in the Most Glorious attire</w:t>
      </w:r>
      <w:r>
        <w:t xml:space="preserve">”</w:t>
      </w:r>
      <w:r>
        <w:rPr>
          <w:rStyle w:val="FootnoteReference"/>
        </w:rPr>
        <w:footnoteReference w:id="238"/>
      </w:r>
      <w:r>
        <w:t xml:space="preserve"> </w:t>
      </w:r>
      <w:r>
        <w:t xml:space="preserve">as if He were a Monarch. The Manifestation is also the means by which the human soul is able to understand God’s will, purpose, and those other names and attributes more fully.</w:t>
      </w:r>
      <w:r>
        <w:t xml:space="preserve"> </w:t>
      </w:r>
      <w:r>
        <w:t xml:space="preserve">“</w:t>
      </w:r>
      <w:r>
        <w:t xml:space="preserve">Whoever has turned to Me has turned to the Worshiped One.</w:t>
      </w:r>
      <w:r>
        <w:t xml:space="preserve">”</w:t>
      </w:r>
      <w:r>
        <w:rPr>
          <w:rStyle w:val="FootnoteReference"/>
        </w:rPr>
        <w:footnoteReference w:id="239"/>
      </w:r>
      <w:r>
        <w:t xml:space="preserve"> </w:t>
      </w:r>
      <w:r>
        <w:t xml:space="preserve">The Manifestation is the focal point for the devotional life of God, much like the Qiblih of Islam or the Temple of Judaism. Thus, all Manifestations of God are the Sidratu’l-Muntahá, with each being a branch of this divine tree.</w:t>
      </w:r>
    </w:p>
    <w:p>
      <w:pPr>
        <w:pStyle w:val="BodyText"/>
      </w:pPr>
      <w:r>
        <w:t xml:space="preserve">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pPr>
        <w:pStyle w:val="BodyText"/>
      </w:pPr>
      <w:r>
        <w:rPr>
          <w:iCs/>
          <w:i/>
        </w:rPr>
        <w:t xml:space="preserve">Reflection: What changes in your daily life when you treat Revelation as the place where the hidden becomes knowable?</w:t>
      </w:r>
    </w:p>
    <w:p>
      <w:pPr>
        <w:pStyle w:val="BodyText"/>
      </w:pPr>
      <w:r>
        <w:t xml:space="preserve">This is where we step from God’s attributes into God’s appearance in history.</w:t>
      </w:r>
    </w:p>
    <w:bookmarkEnd w:id="240"/>
    <w:bookmarkStart w:id="242" w:name="countless-adams"/>
    <w:p>
      <w:pPr>
        <w:pStyle w:val="Heading2"/>
      </w:pPr>
      <w:r>
        <w:t xml:space="preserve">6.2 Countless Adams</w:t>
      </w:r>
    </w:p>
    <w:p>
      <w:pPr>
        <w:pStyle w:val="FirstParagraph"/>
      </w:pPr>
      <w:r>
        <w:t xml:space="preserve">This station of Manifestation has been fulfilled by many throughout history. Neither the Kitáb-i-Aqdas nor Bahá’u’lláh’s writings describe all the Manifestations throughout history, but God has spoken to the people of the world at different places and at different times. The Báb had said,</w:t>
      </w:r>
      <w:r>
        <w:t xml:space="preserve"> </w:t>
      </w:r>
      <w:r>
        <w:t xml:space="preserve">“</w:t>
      </w:r>
      <w:r>
        <w:t xml:space="preserve">From the appearance of Adam to the first manifestation and the Point of the Bayán, only 12,210 years of this world’s time have passed. Beyond this, there is no doubt that God has created countless Adams, whose number is known to none but Him.</w:t>
      </w:r>
      <w:r>
        <w:t xml:space="preserve">”</w:t>
      </w:r>
      <w:r>
        <w:rPr>
          <w:rStyle w:val="FootnoteReference"/>
        </w:rPr>
        <w:footnoteReference w:id="241"/>
      </w:r>
      <w:r>
        <w:t xml:space="preserve"> </w:t>
      </w:r>
      <w:r>
        <w:t xml:space="preserve">The Adam described in the Book of Genesis of the Hebrew Torah would have lived around 10,360 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cultivated plants, a Garden which emerged in newly forming agrarian societies. These Adams could have also helped guide mankind as we look back beyond 10,360 BC. While Genesis says Adam was the first man and Eve was the first woman, it is definitely clear that Adam represented a dawn of a new era of humanity from the Paleolithic and Mesolithic periods into the Holocene. Humankind had emerged into a new creation, where God was guiding our development throughout the world.</w:t>
      </w:r>
    </w:p>
    <w:p>
      <w:pPr>
        <w:pStyle w:val="BodyText"/>
      </w:pPr>
      <w:r>
        <w:rPr>
          <w:iCs/>
          <w:i/>
        </w:rPr>
        <w:t xml:space="preserve">Reflection: When you read sacred origins, do you look for a single date, or for a single turning point in the soul of humanity?</w:t>
      </w:r>
    </w:p>
    <w:p>
      <w:pPr>
        <w:pStyle w:val="BodyText"/>
      </w:pPr>
      <w:r>
        <w:t xml:space="preserve">With that widening of history, we can return to the most immediate Dawn for our age.</w:t>
      </w:r>
    </w:p>
    <w:bookmarkEnd w:id="242"/>
    <w:bookmarkStart w:id="243" w:name="the-báb-the-primal-point"/>
    <w:p>
      <w:pPr>
        <w:pStyle w:val="Heading2"/>
      </w:pPr>
      <w:r>
        <w:t xml:space="preserve">6.3 The Báb, the Primal Point</w:t>
      </w:r>
    </w:p>
    <w:p>
      <w:pPr>
        <w:pStyle w:val="FirstParagraph"/>
      </w:pPr>
      <w:r>
        <w:t xml:space="preserve">This brings us to the Báb. He was known by various titles in the context of Islam, particularly in Shí‘a Islam, such as the Qá’im. However, there are two names and titles which I want to bring particular attention to, given that these two names are rather universal in nature. The first title is the Primal Point.</w:t>
      </w:r>
    </w:p>
    <w:p>
      <w:pPr>
        <w:pStyle w:val="BodyText"/>
      </w:pPr>
      <w:r>
        <w:t xml:space="preserve">My understanding of the Primal Point is that it signifies the ultimate unity and reality of all things. It is the essence of Oneness in its most pure form, if you recall Purity and One as the pinnacle of understanding the Essence of God. The Primal Point is the point where all creation returns and from which all creation emerges. I think of the Primal Point as being as if a black hole, where all energy and mass return to it. I also think of the Primal Point as being as if the Big Bang, where all energy and mass expand from a point and all reality of the Universe emerges from it. In this context, creation ended one cycle and a new cycle emerged.</w:t>
      </w:r>
    </w:p>
    <w:p>
      <w:pPr>
        <w:pStyle w:val="BodyText"/>
      </w:pPr>
      <w:r>
        <w:t xml:space="preserve">The most common name is the Báb. The word Báb means the Gate. A Gate is never the ultimate destination. It is the entrance we pass through as we arrive at our destination. In this context, the Gate is where we leave one space, Adam and the Holocene, and emerge in a new space, Bahá’u’lláh and the emerging Anthropocene epoch. The Primal Point and the Báb are two distinct ways to express a complex but singular reality. The Báb relates to this theme in the Persian Bayán by saying:</w:t>
      </w:r>
    </w:p>
    <w:p>
      <w:pPr>
        <w:pStyle w:val="BlockText"/>
      </w:pPr>
      <w:r>
        <w:t xml:space="preserve">“</w:t>
      </w: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t xml:space="preserve">”</w:t>
      </w:r>
    </w:p>
    <w:p>
      <w:pPr>
        <w:pStyle w:val="FirstParagraph"/>
      </w:pPr>
      <w:r>
        <w:t xml:space="preserve">Even if we look at traditions which seem polytheistic, they are not. All are Manifestations of God, expressions of God’s attributes according to the needs and cultures of their time.</w:t>
      </w:r>
    </w:p>
    <w:p>
      <w:pPr>
        <w:pStyle w:val="BodyText"/>
      </w:pPr>
      <w:r>
        <w:rPr>
          <w:iCs/>
          <w:i/>
        </w:rPr>
        <w:t xml:space="preserve">Reflection: What is the difference between a destination you possess, and a Gate that changes who you are as you pass through it?</w:t>
      </w:r>
    </w:p>
    <w:p>
      <w:pPr>
        <w:pStyle w:val="BodyText"/>
      </w:pPr>
      <w:r>
        <w:t xml:space="preserve">That Gate leads directly to the pattern the Báb placed at the center of His Revelation.</w:t>
      </w:r>
    </w:p>
    <w:bookmarkEnd w:id="243"/>
    <w:bookmarkStart w:id="244" w:name="the-váḥid-the-number-19"/>
    <w:p>
      <w:pPr>
        <w:pStyle w:val="Heading2"/>
      </w:pPr>
      <w:r>
        <w:t xml:space="preserve">6.4 The Váḥid, the Number 19</w:t>
      </w:r>
    </w:p>
    <w:p>
      <w:pPr>
        <w:pStyle w:val="FirstParagraph"/>
      </w:pPr>
      <w:r>
        <w:t xml:space="preserve">The Báb placed significant importance on the number 19. Some tie the origin of its significance to the Qur’án’s Súrah al-Muddaththir, where the Seal of the Prophets describes 19 angels who guard the gates of Hell. The number is a marker of faith in God. The audience to whom the Seal of the Prophets was speaking in the early Meccan period was most likely the Jewish population of Mecca, who observed the lunisolar Metonic cycle. This cycle represents the 19-year cycles where the lunar phases repeat at the same solar periods. Today’s Easter observances follow this Metonic cycle. Other ancient cultures also observed this cycle, such as the Polynesians.</w:t>
      </w:r>
    </w:p>
    <w:p>
      <w:pPr>
        <w:pStyle w:val="BodyText"/>
      </w:pPr>
      <w:r>
        <w:t xml:space="preserve">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Váḥids of 19 Gates, for 361 total Gates. A Váḥid, using the Arabic abjad system of numerology, represents the number 19. Váḥid literally means unity. Thus the Bayán would represent 19 separate unities, each a multiplicity of 19, which comprise one Paradise (Bayán). There are 19 gates to pass through for each unity, much like the Báb Himself was a Gate.</w:t>
      </w:r>
    </w:p>
    <w:p>
      <w:pPr>
        <w:pStyle w:val="BodyText"/>
      </w:pPr>
      <w:r>
        <w:t xml:space="preserve">When we refer back to the Báb’s ministry, the first believers were called the Letters of the Living. There were 18 of them and, together with the Báb, they numbered 19 in total. Each had served as gates in their own way and ushered in a period of considerable upheaval in Persia. All but one were executed for apostasy from Islam, much like what the Qur’án was alluding to in Súrah al-Muddaththir. Before He was executed, He had implemented the Bayánic Calendar of 19 months of 19 days, and as you will see throughout this book, 19 is a common feature of this cycle. How does Bahá’u’lláh represent the Váḥid, the Unity of the Number 19? Let’s explore who Bahá’u’lláh is and the connection to the Báb’s Revelation.</w:t>
      </w:r>
    </w:p>
    <w:p>
      <w:pPr>
        <w:pStyle w:val="BodyText"/>
      </w:pPr>
      <w:r>
        <w:rPr>
          <w:iCs/>
          <w:i/>
        </w:rPr>
        <w:t xml:space="preserve">Reflection: Where in your life do you feel unity most strongly, and what pattern helps you return to it when multiplicity overwhelms you?</w:t>
      </w:r>
    </w:p>
    <w:p>
      <w:pPr>
        <w:pStyle w:val="BodyText"/>
      </w:pPr>
      <w:r>
        <w:t xml:space="preserve">From the pattern of nineteen, we now turn to the Glory that fulfills it.</w:t>
      </w:r>
    </w:p>
    <w:bookmarkEnd w:id="244"/>
    <w:bookmarkStart w:id="259" w:name="baháulláh-the-glory-of-god"/>
    <w:p>
      <w:pPr>
        <w:pStyle w:val="Heading2"/>
      </w:pPr>
      <w:r>
        <w:t xml:space="preserve">6.5 Bahá’u’lláh, the Glory of God</w:t>
      </w:r>
    </w:p>
    <w:p>
      <w:pPr>
        <w:pStyle w:val="FirstParagraph"/>
      </w:pPr>
      <w:r>
        <w:t xml:space="preserve">Bahá’u’lláh is the most recent of these Manifestations of God who has brought forth Revelation as His divinely ordained mission. Belief in Bahá’u’lláh is belief in all the prior Manifestations of God, belief that their words and causes were true, but also belief that the prior Manifestations’ teachings are now superseded by Bahá’u’lláh’s revelation. It is the dawn of a new day with a new command, which will serve us until the dawn of the next day with the next Manifestation.</w:t>
      </w:r>
    </w:p>
    <w:p>
      <w:pPr>
        <w:pStyle w:val="BodyText"/>
      </w:pPr>
      <w:r>
        <w:t xml:space="preserve">In Bahá’u’lláh’s writings, some Manifestations are referred to by certain titles. For example, Jesus is often referred to as the Spirit</w:t>
      </w:r>
      <w:r>
        <w:rPr>
          <w:rStyle w:val="FootnoteReference"/>
        </w:rPr>
        <w:footnoteReference w:id="245"/>
      </w:r>
      <w:r>
        <w:t xml:space="preserve"> </w:t>
      </w:r>
      <w:r>
        <w:t xml:space="preserve">and Muhammad as the Messenger of God.</w:t>
      </w:r>
      <w:r>
        <w:rPr>
          <w:rStyle w:val="FootnoteReference"/>
        </w:rPr>
        <w:footnoteReference w:id="246"/>
      </w:r>
      <w:r>
        <w:t xml:space="preserve"> </w:t>
      </w:r>
      <w:r>
        <w:t xml:space="preserve">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247"/>
      </w:r>
      <w:r>
        <w:t xml:space="preserve"> </w:t>
      </w:r>
      <w:r>
        <w:t xml:space="preserve">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248"/>
      </w:r>
      <w:r>
        <w:t xml:space="preserve"> </w:t>
      </w:r>
      <w:r>
        <w:t xml:space="preserve">the Báb was completely a Manifestation of God. Bahá’u’lláh is also a Herald for a future Manifestation of God who will come no earlier than 1029 BE (2872–2873 CE).</w:t>
      </w:r>
      <w:r>
        <w:rPr>
          <w:rStyle w:val="FootnoteReference"/>
        </w:rPr>
        <w:footnoteReference w:id="249"/>
      </w:r>
    </w:p>
    <w:p>
      <w:pPr>
        <w:pStyle w:val="BodyText"/>
      </w:pPr>
      <w:r>
        <w:t xml:space="preserve">Bahá’u’lláh was often referred to as the Greatest Name.</w:t>
      </w:r>
      <w:r>
        <w:rPr>
          <w:rStyle w:val="FootnoteReference"/>
        </w:rPr>
        <w:footnoteReference w:id="250"/>
      </w:r>
      <w:r>
        <w:t xml:space="preserve"> </w:t>
      </w:r>
      <w:r>
        <w:t xml:space="preserve">The Greatest Name is a reference to various Muslim traditions. In one way, God can elevate any of His names to be the greatest, as ultimately all names come from the word</w:t>
      </w:r>
      <w:r>
        <w:t xml:space="preserve"> </w:t>
      </w:r>
      <w:r>
        <w:t xml:space="preserve">“</w:t>
      </w:r>
      <w:r>
        <w:t xml:space="preserve">One</w:t>
      </w:r>
      <w:r>
        <w:t xml:space="preserve">”</w:t>
      </w:r>
      <w:r>
        <w:t xml:space="preserve">. In this dispensation, the Greatest Name is Bahá’, which means Glory. Much like how Jesus was given the name Son, these names are used to demonstrate a primary purpose in the mission of the Manifestation. The Gospel of John says the Gospel exists so all may become sons of God, so thus Jesus’s mission was to teach the Sonship of God the Father. Simultaneously, Krishna means all-attractive, and His mission was to demonstrate true devotion to God and knowledge of the true Self, which are all manifestations of Beauty and Love. The purpose of Bahá’u’lláh’s mission, then, is for our souls to embody and believe in the quality of Glory. The revelation is to demonstrate in every way the exaltation of God, His Majesty over all, and that only He is the Infallible. It is also our purpose to reflect this Glory to the best of our abilities, which helps make the world around us more beautiful, more magnificent, and more illustrious. This purpose teaches us that we all deserve these attributes and are also able to manifest them, if we so believe. This Glory reigns supreme over all the worlds.</w:t>
      </w:r>
      <w:r>
        <w:rPr>
          <w:rStyle w:val="FootnoteReference"/>
        </w:rPr>
        <w:footnoteReference w:id="251"/>
      </w:r>
    </w:p>
    <w:p>
      <w:pPr>
        <w:pStyle w:val="BodyText"/>
      </w:pPr>
      <w:r>
        <w:t xml:space="preserve">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252"/>
      </w:r>
      <w:r>
        <w:t xml:space="preserve"> </w:t>
      </w:r>
      <w:r>
        <w:t xml:space="preserve">saying</w:t>
      </w:r>
      <w:r>
        <w:t xml:space="preserve"> </w:t>
      </w:r>
      <w:r>
        <w:t xml:space="preserve">“</w:t>
      </w:r>
      <w:r>
        <w:t xml:space="preserve">I have not entered schools, nor have I studied scholarly works.</w:t>
      </w:r>
      <w:r>
        <w:t xml:space="preserve">”</w:t>
      </w:r>
      <w:r>
        <w:t xml:space="preserve"> </w:t>
      </w:r>
      <w:r>
        <w:t xml:space="preserve">Despite this, He is unmatched in the fields of mystical insight and knowledge, and none can keep up with Him in the course of wisdom and expression.</w:t>
      </w:r>
      <w:r>
        <w:rPr>
          <w:rStyle w:val="FootnoteReference"/>
        </w:rPr>
        <w:footnoteReference w:id="253"/>
      </w:r>
      <w:r>
        <w:t xml:space="preserve"> </w:t>
      </w:r>
      <w:r>
        <w:t xml:space="preserve">He Himself had entered various Schools of God.</w:t>
      </w:r>
      <w:r>
        <w:rPr>
          <w:rStyle w:val="FootnoteReference"/>
        </w:rPr>
        <w:footnoteReference w:id="254"/>
      </w:r>
      <w:r>
        <w:t xml:space="preserve"> </w:t>
      </w:r>
      <w:r>
        <w:t xml:space="preserve">Bahá’u’lláh first had His epiphany of station while within the prison called the Black Pit of Ṭihrán in the year 8 BE (1852 CE). He says this in the Súríy-i-Haykal:</w:t>
      </w:r>
    </w:p>
    <w:p>
      <w:pPr>
        <w:pStyle w:val="BlockText"/>
      </w:pPr>
      <w:r>
        <w:t xml:space="preserve">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pPr>
        <w:pStyle w:val="BlockText"/>
      </w:pPr>
      <w:r>
        <w:t xml:space="preserve">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pPr>
        <w:pStyle w:val="FirstParagraph"/>
      </w:pPr>
      <w:r>
        <w:t xml:space="preserve">In Baghdád, He revealed His mission during the festival of Riḍván in 19 BE (1863 CE),</w:t>
      </w:r>
      <w:r>
        <w:t xml:space="preserve"> </w:t>
      </w:r>
      <w:r>
        <w:t xml:space="preserve">“</w:t>
      </w:r>
      <w:r>
        <w:t xml:space="preserve">when We manifested to those in existence with Our most beautiful names and highest attributes.</w:t>
      </w:r>
      <w:r>
        <w:t xml:space="preserve">”</w:t>
      </w:r>
      <w:r>
        <w:rPr>
          <w:rStyle w:val="FootnoteReference"/>
        </w:rPr>
        <w:footnoteReference w:id="255"/>
      </w:r>
      <w:r>
        <w:t xml:space="preserve"> </w:t>
      </w:r>
      <w:r>
        <w:t xml:space="preserve">This mission began 19 years after the Báb began His ministry in 0 BE (May 1844 CE). It continued until His passing in 48 BE (1892 CE) in ’Akká, 19 years after Bahá’u’lláh revealed the Kitáb-i-Aqdas. The 10-year period from 19 BE to 29 BE (1863–1873 CE) was much like a pivot period, where the Bayán was still the Command of God, but Bahá’u’lláh was declaring His mission and station to believers of the Báb and prior Manifestations, as well as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Váḥid), and Bahá’u’lláh was to live for one Váḥid of the Kitáb-i-Aqdas. This was no mere coincidence. The Váḥid is the design of this new post-Adam cycle.</w:t>
      </w:r>
    </w:p>
    <w:p>
      <w:pPr>
        <w:pStyle w:val="BodyText"/>
      </w:pPr>
      <w:r>
        <w:t xml:space="preserve">By 29 BE (1873 CE), both Baghdád and ’Akká were part of the Ottoman Empire. While in ’Akká, Bahá’u’lláh was in the Most Great Prison, where the Kitáb-i-Aqdas itself was revealed.</w:t>
      </w:r>
      <w:r>
        <w:rPr>
          <w:rStyle w:val="FootnoteReference"/>
        </w:rPr>
        <w:footnoteReference w:id="256"/>
      </w:r>
      <w:r>
        <w:t xml:space="preserve"> </w:t>
      </w:r>
      <w:r>
        <w:t xml:space="preserve">Despite being a prisoner of the Persian and Ottoman Empires for most of this 40-year period as a Manifestation of God, He says His love is able to burn away veils</w:t>
      </w:r>
      <w:r>
        <w:rPr>
          <w:rStyle w:val="FootnoteReference"/>
        </w:rPr>
        <w:footnoteReference w:id="257"/>
      </w:r>
      <w:r>
        <w:t xml:space="preserve"> </w:t>
      </w:r>
      <w:r>
        <w:t xml:space="preserve">which inhibit one’s ability to fully believe in God. This love and imprisonment serves one major purpose.</w:t>
      </w:r>
    </w:p>
    <w:p>
      <w:pPr>
        <w:pStyle w:val="BlockText"/>
      </w:pPr>
      <w:r>
        <w:t xml:space="preserve">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258"/>
      </w:r>
    </w:p>
    <w:p>
      <w:pPr>
        <w:pStyle w:val="FirstParagraph"/>
      </w:pPr>
      <w:r>
        <w:t xml:space="preserve">Bahá’u’lláh’s mission is the liberation of our souls from oppression. It might seem somewhat similar to the liberation theology of the 1960s (116-125BE), which used Christian doctrine as inspirations of revolution. Yet the center here is not political power, but the soul’s deliverance from every form of tyranny, outward and inward.</w:t>
      </w:r>
    </w:p>
    <w:p>
      <w:pPr>
        <w:pStyle w:val="BodyText"/>
      </w:pPr>
      <w:r>
        <w:t xml:space="preserve">You will see throughout the rest of this book that the Kitáb-i-Aqdas fulfills this mission through the commands and revelation of Glory. Every law, counsel, exhortation, and theological ruling should be considered from the perspective of this mission, the mission born of the love from God for all of us.</w:t>
      </w:r>
    </w:p>
    <w:p>
      <w:pPr>
        <w:pStyle w:val="BodyText"/>
      </w:pPr>
      <w:r>
        <w:rPr>
          <w:iCs/>
          <w:i/>
        </w:rPr>
        <w:t xml:space="preserve">Reflection: When you think of liberation, do you imagine escape from a place, or the awakening of a capacity you forgot you had?</w:t>
      </w:r>
    </w:p>
    <w:p>
      <w:pPr>
        <w:pStyle w:val="BodyText"/>
      </w:pPr>
      <w:r>
        <w:t xml:space="preserve">With that mission named, we can now look at how Bahá’u’lláh describes His own roles in fulfilling it.</w:t>
      </w:r>
    </w:p>
    <w:bookmarkEnd w:id="259"/>
    <w:bookmarkStart w:id="260" w:name="how-baháulláh-fulfills-his-mission"/>
    <w:p>
      <w:pPr>
        <w:pStyle w:val="Heading2"/>
      </w:pPr>
      <w:r>
        <w:t xml:space="preserve">6.6 How Bahá’u’lláh Fulfills His Mission</w:t>
      </w:r>
    </w:p>
    <w:p>
      <w:pPr>
        <w:pStyle w:val="FirstParagraph"/>
      </w:pPr>
      <w:r>
        <w:t xml:space="preserve">The Kitáb-i-Aqdas is ripe with various symbols and expressions of the way Bahá’u’lláh fulfills His mission for us. These titles include the Sun, the Pen, the Shepherd, the Sea, the Master, the Remembrance, the 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to this exalted station.</w:t>
      </w:r>
    </w:p>
    <w:p>
      <w:pPr>
        <w:pStyle w:val="BodyText"/>
      </w:pPr>
      <w:r>
        <w:t xml:space="preserve">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pPr>
        <w:pStyle w:val="BodyText"/>
      </w:pPr>
      <w:r>
        <w:rPr>
          <w:iCs/>
          <w:i/>
        </w:rPr>
        <w:t xml:space="preserve">Reflection: What would change if you treated every command as a path toward freedom, rather than a burden placed upon you?</w:t>
      </w:r>
    </w:p>
    <w:p>
      <w:pPr>
        <w:pStyle w:val="BodyText"/>
      </w:pPr>
      <w:r>
        <w:t xml:space="preserve">That question is why Part 1 must end not with ideas alone, but with a call to lived response.</w:t>
      </w:r>
    </w:p>
    <w:bookmarkEnd w:id="260"/>
    <w:bookmarkStart w:id="261" w:name="conclusion-of-part-1"/>
    <w:p>
      <w:pPr>
        <w:pStyle w:val="Heading2"/>
      </w:pPr>
      <w:r>
        <w:t xml:space="preserve">6.7 Conclusion of Part 1</w:t>
      </w:r>
    </w:p>
    <w:p>
      <w:pPr>
        <w:pStyle w:val="FirstParagraph"/>
      </w:pPr>
      <w:r>
        <w:t xml:space="preserve">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pPr>
        <w:pStyle w:val="BodyText"/>
      </w:pPr>
      <w:r>
        <w:t xml:space="preserve">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pPr>
        <w:pStyle w:val="BodyText"/>
      </w:pPr>
      <w:r>
        <w:t xml:space="preserve">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Sidratu’l-Muntahá made knowable, the point where heaven touches earth, where the greater worlds become accessible to seeking souls.</w:t>
      </w:r>
    </w:p>
    <w:p>
      <w:pPr>
        <w:pStyle w:val="BodyText"/>
      </w:pPr>
      <w:r>
        <w:t xml:space="preserve">Chapter 4 revealed that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pPr>
        <w:pStyle w:val="BodyText"/>
      </w:pPr>
      <w:r>
        <w:t xml:space="preserve">Chapter 5 established that God’s Command flows eternally through revelations such as the Torah, Gospel, Qur’án, Bayán, and Aqdas, each paradise preparing for its Lord. Yet Command cannot exist without the Commander. The Manifestation is the living authority who speaks the Most Great Command, the Sun rising from the Sidratu’l-Muntahá at dawn, the lamp lighting our pathway toward true liberation. Belief in the Manifestation completes the foundation we have built across these six chapters.</w:t>
      </w:r>
    </w:p>
    <w:p>
      <w:pPr>
        <w:pStyle w:val="BodyText"/>
      </w:pPr>
      <w:r>
        <w:t xml:space="preserve">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r>
        <w:br w:type="page"/>
      </w:r>
    </w:p>
    <w:bookmarkEnd w:id="261"/>
    <w:bookmarkEnd w:id="262"/>
    <w:bookmarkStart w:id="295" w:name="foundational-virtues"/>
    <w:p>
      <w:pPr>
        <w:pStyle w:val="Heading1"/>
      </w:pPr>
      <w:r>
        <w:t xml:space="preserve">7. Foundational Virtues</w:t>
      </w:r>
    </w:p>
    <w:bookmarkStart w:id="263" w:name="introduction-to-virtues"/>
    <w:p>
      <w:pPr>
        <w:pStyle w:val="Heading2"/>
      </w:pPr>
      <w:r>
        <w:t xml:space="preserve">7.1 Introduction to Virtues</w:t>
      </w:r>
    </w:p>
    <w:p>
      <w:pPr>
        <w:pStyle w:val="FirstParagraph"/>
      </w:pPr>
      <w:r>
        <w:t xml:space="preserve">Part 2 is going to focus on the relationship we are capable of developing with God through spiritual practice. These spiritual practices help the soul retain its innate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of how God inspires inner transformation, guides God-conscious awareness, and inspires actions which reflect all virtues. The story will be told in this chapter, and illuminated without any plot advancement from Chapters 8 to 13.</w:t>
      </w:r>
    </w:p>
    <w:p>
      <w:pPr>
        <w:pStyle w:val="BodyText"/>
      </w:pPr>
      <w:r>
        <w:t xml:space="preserve">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Because of this, the Kitáb-i-Aqdas is also a book of counsel.</w:t>
      </w:r>
    </w:p>
    <w:p>
      <w:pPr>
        <w:pStyle w:val="BodyText"/>
      </w:pPr>
      <w:r>
        <w:t xml:space="preserve">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rather use the entire constellation when we consider what actions we should take in a given situation.</w:t>
      </w:r>
    </w:p>
    <w:p>
      <w:pPr>
        <w:pStyle w:val="BodyText"/>
      </w:pPr>
      <w:r>
        <w:t xml:space="preserve">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to learn how to navigate the entire constellation of virtues, but we are not alone in this journey. We can develop and refine our virtues through regular spiritual practices which also enhance our relationship with God. As God is independent of us, God counsels us toward these practices and virtues solely for us. God desires this relationship for us. This relationship is vital to our liberation.</w:t>
      </w:r>
    </w:p>
    <w:p>
      <w:pPr>
        <w:pStyle w:val="BodyText"/>
      </w:pPr>
      <w:r>
        <w:rPr>
          <w:iCs/>
          <w:i/>
        </w:rPr>
        <w:t xml:space="preserve">Reflection: Which virtues feel like guiding stars for you today, and how do they change the way you interpret counsel as something lived rather than something enforced?</w:t>
      </w:r>
    </w:p>
    <w:p>
      <w:pPr>
        <w:pStyle w:val="BodyText"/>
      </w:pPr>
      <w:r>
        <w:t xml:space="preserve">The next section defines the five daily practices that make the constellation usable in real life.</w:t>
      </w:r>
    </w:p>
    <w:bookmarkEnd w:id="263"/>
    <w:bookmarkStart w:id="264" w:name="five-spiritual-practices"/>
    <w:p>
      <w:pPr>
        <w:pStyle w:val="Heading2"/>
      </w:pPr>
      <w:r>
        <w:t xml:space="preserve">7.2 Five Spiritual Practices</w:t>
      </w:r>
    </w:p>
    <w:p>
      <w:pPr>
        <w:pStyle w:val="FirstParagraph"/>
      </w:pPr>
      <w:r>
        <w:t xml:space="preserve">There are five regular spiritual practices the next Chapters 8-12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to the other practices. For example, if we do not practice reflection, our prayer may not fully be sincere or honest. Our recitation would not seem personal. The way we honor God might be contrary to our abilities and intentions. Remembrance cannot be fully be realized if we are unable to discover how God works within ourselves.</w:t>
      </w:r>
    </w:p>
    <w:p>
      <w:pPr>
        <w:pStyle w:val="BodyText"/>
      </w:pPr>
      <w:r>
        <w:rPr>
          <w:iCs/>
          <w:i/>
        </w:rPr>
        <w:t xml:space="preserve">Reflection: If you had to choose one practice that most often gets neglected, what virtues do you think weaken first when it is missing?</w:t>
      </w:r>
    </w:p>
    <w:p>
      <w:pPr>
        <w:pStyle w:val="BodyText"/>
      </w:pPr>
      <w:r>
        <w:t xml:space="preserve">To clarify what these practices restore, we begin with the virtues Bahá’u’lláh calls innate.</w:t>
      </w:r>
    </w:p>
    <w:bookmarkEnd w:id="264"/>
    <w:bookmarkStart w:id="281" w:name="five-innate-virtues"/>
    <w:p>
      <w:pPr>
        <w:pStyle w:val="Heading2"/>
      </w:pPr>
      <w:r>
        <w:t xml:space="preserve">7.3 Five Innate Virtues</w:t>
      </w:r>
    </w:p>
    <w:p>
      <w:pPr>
        <w:pStyle w:val="FirstParagraph"/>
      </w:pPr>
      <w:r>
        <w:t xml:space="preserve">There are some virtues which Bahá’u’lláh describes as being innate.</w:t>
      </w:r>
      <w:r>
        <w:rPr>
          <w:rStyle w:val="FootnoteReference"/>
        </w:rPr>
        <w:footnoteReference w:id="265"/>
      </w:r>
      <w:r>
        <w:t xml:space="preserve"> </w:t>
      </w:r>
      <w:r>
        <w:t xml:space="preserve">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pPr>
        <w:pStyle w:val="BodyText"/>
      </w:pPr>
      <w:r>
        <w:t xml:space="preserve">Being innate does not mean they do not need to be practiced, but it can be trusted that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where we choose to override the virtue born within us.</w:t>
      </w:r>
    </w:p>
    <w:bookmarkStart w:id="266" w:name="piety"/>
    <w:p>
      <w:pPr>
        <w:pStyle w:val="Heading3"/>
      </w:pPr>
      <w:r>
        <w:t xml:space="preserve">7.3.1 Piety</w:t>
      </w:r>
    </w:p>
    <w:p>
      <w:pPr>
        <w:pStyle w:val="FirstParagraph"/>
      </w:pPr>
      <w:r>
        <w:t xml:space="preserve">Piety is often viewed as being committed to religious practice, especially by those who spend considerable effort promoting an image of religiosity. When looking at the Kitáb-i-Aqdas, it does not feel as though this is the context in which Bahá’u’lláh defines piety. Let’s look at how piety is used in the Kitáb-i-Aqdas.</w:t>
      </w:r>
    </w:p>
    <w:p>
      <w:pPr>
        <w:pStyle w:val="BodyText"/>
      </w:pPr>
      <w:r>
        <w:t xml:space="preserve">In Kitáb-i-Aqdas #64, we are commanded to piety after Bahá’u’lláh forbids oppression and lewdness. These two acts are acts against others. Again in Kitáb-i-Aqdas #71, oppression and wrongdoing stand in opposition to piety. In Kitáb-i-Aqdas #88, piety is paired with justice. In Kitáb-i-Aqdas #108, piety is described with sincerity to describe how to do remembrance of God. In Kitáb-i-Aqdas #148, piety is paired with kindness to oppose contention and disputes.</w:t>
      </w:r>
    </w:p>
    <w:p>
      <w:pPr>
        <w:pStyle w:val="BodyText"/>
      </w:pPr>
      <w:r>
        <w:t xml:space="preserve">It seems as though for Bahá’u’lláh, piety is not about outward religious appearances. Piety is more about serving one’s obligations and duties towards others. These obligations could be towards parents, children, your work, your community, and yourself. Piety isn’t a virtue to look good, it is a virtue to guide how we go about our spiritual practice and treat others. How we treat others is also a pathway to how we honor God.</w:t>
      </w:r>
    </w:p>
    <w:p>
      <w:pPr>
        <w:pStyle w:val="BodyText"/>
      </w:pPr>
      <w:r>
        <w:t xml:space="preserve">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bookmarkEnd w:id="266"/>
    <w:bookmarkStart w:id="268" w:name="pure-truthfulness"/>
    <w:p>
      <w:pPr>
        <w:pStyle w:val="Heading3"/>
      </w:pPr>
      <w:r>
        <w:t xml:space="preserve">7.3.2 Pure Truthfulness</w:t>
      </w:r>
    </w:p>
    <w:p>
      <w:pPr>
        <w:pStyle w:val="FirstParagraph"/>
      </w:pPr>
      <w:r>
        <w:t xml:space="preserve">The Kitáb-i-Aqdas only mentions truthfulness once, and it is combined with the adjective pure. We are not counseled to be merely truthful, but to adorn our tongues with pure truthfulness.</w:t>
      </w:r>
      <w:r>
        <w:rPr>
          <w:rStyle w:val="FootnoteReference"/>
        </w:rPr>
        <w:footnoteReference w:id="267"/>
      </w:r>
      <w:r>
        <w:t xml:space="preserve"> </w:t>
      </w:r>
      <w:r>
        <w:t xml:space="preserve">The common view is that truthfulness is a strict adherence to fact or the expression of one’s opinion on a matter. While facts should never be denied, nor opinions be avoided, pure truthfulness expresses a different standard than what is common.</w:t>
      </w:r>
    </w:p>
    <w:p>
      <w:pPr>
        <w:pStyle w:val="BodyText"/>
      </w:pPr>
      <w:r>
        <w:t xml:space="preserve">One way to consider this standard is to remain aware that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has a desire to know what is true and real, while learning this in a loving and caring way. Every person deserves this respect.</w:t>
      </w:r>
    </w:p>
    <w:bookmarkEnd w:id="268"/>
    <w:bookmarkStart w:id="270" w:name="courtesy"/>
    <w:p>
      <w:pPr>
        <w:pStyle w:val="Heading3"/>
      </w:pPr>
      <w:r>
        <w:t xml:space="preserve">7.3.3 Courtesy</w:t>
      </w:r>
    </w:p>
    <w:p>
      <w:pPr>
        <w:pStyle w:val="FirstParagraph"/>
      </w:pPr>
      <w:r>
        <w:t xml:space="preserve">Bahá’u’lláh describes courtesy with dignity in opposition to freedom.</w:t>
      </w:r>
      <w:r>
        <w:rPr>
          <w:rStyle w:val="FootnoteReference"/>
        </w:rPr>
        <w:footnoteReference w:id="269"/>
      </w:r>
      <w:r>
        <w:t xml:space="preserve"> </w:t>
      </w:r>
      <w:r>
        <w:t xml:space="preserve">In the Lawḥ-i-Dunyá, Bahá’u’lláh says</w:t>
      </w:r>
      <w:r>
        <w:t xml:space="preserve"> </w:t>
      </w:r>
      <w:r>
        <w:t xml:space="preserve">“</w:t>
      </w:r>
      <w:r>
        <w:t xml:space="preserve">O people of God, I adjure you by courtesy and good manners, for the supreme seat of ethics is first and foremost. Blessed is the soul that has been illuminated by the light of etiquette and adorned with the trappings of truth. Possessing manners is possessing a high station.</w:t>
      </w:r>
      <w:r>
        <w:t xml:space="preserve">”</w:t>
      </w:r>
    </w:p>
    <w:p>
      <w:pPr>
        <w:pStyle w:val="BodyText"/>
      </w:pPr>
      <w:r>
        <w:t xml:space="preserve">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 others who are also on the road. If I am driving with courtesy, I am driving with the understanding that every person on the road is also attempting to attain a destination at a potentially scheduled time. My journey must never hinder another person’s journey.</w:t>
      </w:r>
    </w:p>
    <w:p>
      <w:pPr>
        <w:pStyle w:val="BodyText"/>
      </w:pPr>
      <w:r>
        <w:t xml:space="preserve">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large-scale nonreligious practice. While everyone desires freedom, everyone deserves courtesy. The Golden Rule to treat others as you desire to be treated is innate to all of us. This is part of the pathway to actual liberation.</w:t>
      </w:r>
    </w:p>
    <w:bookmarkEnd w:id="270"/>
    <w:bookmarkStart w:id="273" w:name="loyalty"/>
    <w:p>
      <w:pPr>
        <w:pStyle w:val="Heading3"/>
      </w:pPr>
      <w:r>
        <w:t xml:space="preserve">7.3.4 Loyalty</w:t>
      </w:r>
    </w:p>
    <w:p>
      <w:pPr>
        <w:pStyle w:val="FirstParagraph"/>
      </w:pPr>
      <w:r>
        <w:t xml:space="preserve">Loyalty is a virtue which can purify a soul.</w:t>
      </w:r>
      <w:r>
        <w:rPr>
          <w:rStyle w:val="FootnoteReference"/>
        </w:rPr>
        <w:footnoteReference w:id="271"/>
      </w:r>
      <w:r>
        <w:t xml:space="preserve"> </w:t>
      </w:r>
      <w:r>
        <w:t xml:space="preserve">Bahá’u’lláh often pairs loyalty with love and steadfastness to help express the purpose of loyalty. The first loyalty is to God in servitude.</w:t>
      </w:r>
      <w:r>
        <w:rPr>
          <w:rStyle w:val="FootnoteReference"/>
        </w:rPr>
        <w:footnoteReference w:id="272"/>
      </w:r>
      <w:r>
        <w:t xml:space="preserve"> </w:t>
      </w:r>
      <w:r>
        <w:t xml:space="preserve">Loyalty is also in service to anyone to whom you make a commitment. Loyalty is not something we demand from others, as we must not oppress. Loyalty is only something we may offer to another. We have opportunities to show loyalty to parents, to those who lead us, whether we voluntarily or involuntarily are led.</w:t>
      </w:r>
    </w:p>
    <w:p>
      <w:pPr>
        <w:pStyle w:val="BodyText"/>
      </w:pPr>
      <w:r>
        <w:t xml:space="preserve">Sometimes there are competing loyalties and this can be difficult to navigate or discern. Imagine a scenario where two parents divorce and each competes in their authority over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pPr>
        <w:pStyle w:val="BodyText"/>
      </w:pPr>
      <w:r>
        <w:t xml:space="preserve">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bookmarkEnd w:id="273"/>
    <w:bookmarkStart w:id="279" w:name="trustworthiness"/>
    <w:p>
      <w:pPr>
        <w:pStyle w:val="Heading3"/>
      </w:pPr>
      <w:r>
        <w:t xml:space="preserve">7.3.5 Trustworthiness</w:t>
      </w:r>
    </w:p>
    <w:p>
      <w:pPr>
        <w:pStyle w:val="FirstParagraph"/>
      </w:pPr>
      <w:r>
        <w:t xml:space="preserve">Bahá’u’lláh describes Himself as the trustworthy counselor.</w:t>
      </w:r>
      <w:r>
        <w:rPr>
          <w:rStyle w:val="FootnoteReference"/>
        </w:rPr>
        <w:footnoteReference w:id="274"/>
      </w:r>
      <w:r>
        <w:t xml:space="preserve"> </w:t>
      </w:r>
      <w:r>
        <w:t xml:space="preserve">This is in opposition to describing those who are wolves in sheep’s garments. He enjoins responsibilities for the trustworthy to act as trustees</w:t>
      </w:r>
      <w:r>
        <w:rPr>
          <w:rStyle w:val="FootnoteReference"/>
        </w:rPr>
        <w:footnoteReference w:id="275"/>
      </w:r>
      <w:r>
        <w:t xml:space="preserve"> </w:t>
      </w:r>
      <w:r>
        <w:t xml:space="preserve">with their obligations.</w:t>
      </w:r>
      <w:r>
        <w:rPr>
          <w:rStyle w:val="FootnoteReference"/>
        </w:rPr>
        <w:footnoteReference w:id="276"/>
      </w:r>
      <w:r>
        <w:t xml:space="preserve"> </w:t>
      </w:r>
      <w:r>
        <w:t xml:space="preserve">Trustworthiness eliminates doubts in the affairs of the world.</w:t>
      </w:r>
      <w:r>
        <w:rPr>
          <w:rStyle w:val="FootnoteReference"/>
        </w:rPr>
        <w:footnoteReference w:id="277"/>
      </w:r>
      <w:r>
        <w:t xml:space="preserve"> </w:t>
      </w:r>
      <w:r>
        <w:t xml:space="preserve">Bahá’u’lláh joins trustworthiness with the lights of certainty, steadfastness, and tranquility.</w:t>
      </w:r>
      <w:r>
        <w:rPr>
          <w:rStyle w:val="FootnoteReference"/>
        </w:rPr>
        <w:footnoteReference w:id="278"/>
      </w:r>
    </w:p>
    <w:p>
      <w:pPr>
        <w:pStyle w:val="BodyText"/>
      </w:pPr>
      <w:r>
        <w:t xml:space="preserve">Trustworthiness is not exactly about being truthful, but it is a virtue which guides us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pPr>
        <w:pStyle w:val="BodyText"/>
      </w:pPr>
      <w:r>
        <w:t xml:space="preserve">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the one who observes you.</w:t>
      </w:r>
    </w:p>
    <w:bookmarkEnd w:id="279"/>
    <w:bookmarkStart w:id="280" w:name="manual-overrides"/>
    <w:p>
      <w:pPr>
        <w:pStyle w:val="Heading3"/>
      </w:pPr>
      <w:r>
        <w:t xml:space="preserve">7.3.6 Manual Overrides</w:t>
      </w:r>
    </w:p>
    <w:p>
      <w:pPr>
        <w:pStyle w:val="FirstParagraph"/>
      </w:pPr>
      <w:r>
        <w:t xml:space="preserve">Manual overrides are required for a person to stop utilizing their innate virtues. These could be conscious choices we make, but they could also be imposed upon us by others. They hijack the human temple and 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pPr>
        <w:numPr>
          <w:ilvl w:val="0"/>
          <w:numId w:val="1002"/>
        </w:numPr>
      </w:pPr>
      <w:r>
        <w:t xml:space="preserve">Social and Traditional Overrides: These are external structures such as with family, clergy, or societal expectations. Religious and cultural practices such as blind imitation of traditions without any personal investigation override pure truthfulness. There could be family authority figures who attempt to govern another’s soul, perpetuating different standards for girls than boys. This overrides courtesy.</w:t>
      </w:r>
    </w:p>
    <w:p>
      <w:pPr>
        <w:numPr>
          <w:ilvl w:val="0"/>
          <w:numId w:val="1002"/>
        </w:numPr>
      </w:pPr>
      <w:r>
        <w:t xml:space="preserve">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from spreading our wings and believing we can be more or achieve more.</w:t>
      </w:r>
    </w:p>
    <w:p>
      <w:pPr>
        <w:numPr>
          <w:ilvl w:val="0"/>
          <w:numId w:val="1002"/>
        </w:numPr>
      </w:pPr>
      <w:r>
        <w:t xml:space="preserve">Sensory and Material Overrides: These are internal overrides often in relation to external structures. We could choose to remain in emotionally comfortable places, while emotional depths seem too demanding. This overrides our potential for loyalty. We might choose to constantly overload our senses, refusing moments of silence or self-awareness. This overrides courtesy to ourselves.</w:t>
      </w:r>
    </w:p>
    <w:p>
      <w:pPr>
        <w:numPr>
          <w:ilvl w:val="0"/>
          <w:numId w:val="1002"/>
        </w:numPr>
      </w:pPr>
      <w:r>
        <w:t xml:space="preserve">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pPr>
        <w:numPr>
          <w:ilvl w:val="0"/>
          <w:numId w:val="1002"/>
        </w:numPr>
      </w:pPr>
      <w:r>
        <w:t xml:space="preserve">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the other purely for an immediate pleasure, even if that soulful connection had not yet been developed. Afterwards, both feel guilt and shame as strongly as they 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pPr>
        <w:pStyle w:val="BodyText"/>
      </w:pPr>
      <w:r>
        <w:t xml:space="preserve">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pPr>
        <w:pStyle w:val="BodyText"/>
      </w:pPr>
      <w:r>
        <w:rPr>
          <w:iCs/>
          <w:i/>
        </w:rPr>
        <w:t xml:space="preserve">Reflection: Where do you recognize a manual override in yourself that does not erase an innate virtue, but temporarily clouds it and redirects it?</w:t>
      </w:r>
    </w:p>
    <w:p>
      <w:pPr>
        <w:pStyle w:val="BodyText"/>
      </w:pPr>
      <w:r>
        <w:t xml:space="preserve">Having named distortion, we now name the balancing principle that keeps virtue from turning into excess.</w:t>
      </w:r>
    </w:p>
    <w:bookmarkEnd w:id="280"/>
    <w:bookmarkEnd w:id="281"/>
    <w:bookmarkStart w:id="283" w:name="moderation"/>
    <w:p>
      <w:pPr>
        <w:pStyle w:val="Heading2"/>
      </w:pPr>
      <w:r>
        <w:t xml:space="preserve">7.4 Moderation</w:t>
      </w:r>
    </w:p>
    <w:p>
      <w:pPr>
        <w:pStyle w:val="FirstParagraph"/>
      </w:pPr>
      <w:r>
        <w:t xml:space="preserve">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pPr>
        <w:pStyle w:val="BodyText"/>
      </w:pPr>
      <w:r>
        <w:t xml:space="preserve">Bahá’u’lláh alludes to moderation in Kitáb-i-Aqdas #43 when describing a state between despair in calamities and excessively rejoicing in happiness. Bahá’u’lláh explicitly states</w:t>
      </w:r>
      <w:r>
        <w:t xml:space="preserve"> </w:t>
      </w:r>
      <w:r>
        <w:t xml:space="preserve">“</w:t>
      </w:r>
      <w:r>
        <w:t xml:space="preserve">Truly, I say, moderation in all things is beloved. When it is exceeded, it leads to harm.</w:t>
      </w:r>
      <w:r>
        <w:t xml:space="preserve">”</w:t>
      </w:r>
      <w:r>
        <w:rPr>
          <w:rStyle w:val="FootnoteReference"/>
        </w:rPr>
        <w:footnoteReference w:id="282"/>
      </w:r>
      <w:r>
        <w:t xml:space="preserve"> </w:t>
      </w:r>
      <w:r>
        <w:t xml:space="preserve">Nothing is excluded within moderation.</w:t>
      </w:r>
    </w:p>
    <w:p>
      <w:pPr>
        <w:pStyle w:val="BodyText"/>
      </w:pPr>
      <w:r>
        <w:t xml:space="preserve">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pPr>
        <w:pStyle w:val="BodyText"/>
      </w:pPr>
      <w:r>
        <w:t xml:space="preserve">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pPr>
        <w:pStyle w:val="BodyText"/>
      </w:pPr>
      <w:r>
        <w:rPr>
          <w:iCs/>
          <w:i/>
        </w:rPr>
        <w:t xml:space="preserve">Reflection: When have you watched a virtue become harmful because it lost moderation and began to overpower the rest of the constellation?</w:t>
      </w:r>
    </w:p>
    <w:p>
      <w:pPr>
        <w:pStyle w:val="BodyText"/>
      </w:pPr>
      <w:r>
        <w:t xml:space="preserve">With moderation established, we can now see how fear and love function as paired forces that orient the soul toward God without distortion.</w:t>
      </w:r>
    </w:p>
    <w:bookmarkEnd w:id="283"/>
    <w:bookmarkStart w:id="288" w:name="the-fear-and-love-of-god"/>
    <w:p>
      <w:pPr>
        <w:pStyle w:val="Heading2"/>
      </w:pPr>
      <w:r>
        <w:t xml:space="preserve">7.5 The Fear and Love of God</w:t>
      </w:r>
    </w:p>
    <w:p>
      <w:pPr>
        <w:pStyle w:val="FirstParagraph"/>
      </w:pPr>
      <w:r>
        <w:t xml:space="preserve">Bahá’u’lláh says</w:t>
      </w:r>
      <w:r>
        <w:t xml:space="preserve"> </w:t>
      </w:r>
      <w:r>
        <w:t xml:space="preserve">“</w:t>
      </w:r>
      <w:r>
        <w:t xml:space="preserve">all will perish from a single Word from God</w:t>
      </w:r>
      <w:r>
        <w:t xml:space="preserve">”</w:t>
      </w:r>
      <w:r>
        <w:t xml:space="preserve"> </w:t>
      </w:r>
      <w:r>
        <w:t xml:space="preserve">without the fear of God.</w:t>
      </w:r>
      <w:r>
        <w:rPr>
          <w:rStyle w:val="FootnoteReference"/>
        </w:rPr>
        <w:footnoteReference w:id="284"/>
      </w:r>
      <w:r>
        <w:t xml:space="preserve"> </w:t>
      </w:r>
      <w:r>
        <w:t xml:space="preserve">Without this virtue, one may become arrogant.</w:t>
      </w:r>
      <w:r>
        <w:rPr>
          <w:rStyle w:val="FootnoteReference"/>
        </w:rPr>
        <w:footnoteReference w:id="285"/>
      </w:r>
      <w:r>
        <w:t xml:space="preserve"> </w:t>
      </w:r>
      <w:r>
        <w:t xml:space="preserve">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of not fearing others. We should fear only God and God alone.</w:t>
      </w:r>
    </w:p>
    <w:p>
      <w:pPr>
        <w:pStyle w:val="BodyText"/>
      </w:pPr>
      <w:r>
        <w:t xml:space="preserve">Fear should not be the cause of anxiety, but instead should be filled with an awe-filled admiration of God’s majesty.</w:t>
      </w:r>
      <w:r>
        <w:rPr>
          <w:rStyle w:val="FootnoteReference"/>
        </w:rPr>
        <w:footnoteReference w:id="286"/>
      </w:r>
      <w:r>
        <w:t xml:space="preserve"> </w:t>
      </w:r>
      <w:r>
        <w:t xml:space="preserve">However, if we only fear God without the love of God, we could be greatly handicapped.</w:t>
      </w:r>
    </w:p>
    <w:p>
      <w:pPr>
        <w:pStyle w:val="BodyText"/>
      </w:pPr>
      <w:r>
        <w:t xml:space="preserve">The love of God balances out fear by providing purpose. It helps temper the awareness of might and justice with the confidence of forgiveness, mercy, and grace. Love is the ultimate aim</w:t>
      </w:r>
      <w:r>
        <w:rPr>
          <w:rStyle w:val="FootnoteReference"/>
        </w:rPr>
        <w:footnoteReference w:id="287"/>
      </w:r>
      <w:r>
        <w:t xml:space="preserve"> </w:t>
      </w:r>
      <w:r>
        <w:t xml:space="preserve">and is the ultimate motivation for all good. The Seven Valleys describes love as expansive of all horizons, able to transform agony to ecstasy.</w:t>
      </w:r>
    </w:p>
    <w:p>
      <w:pPr>
        <w:pStyle w:val="BodyText"/>
      </w:pPr>
      <w:r>
        <w:t xml:space="preserve">How fear and love complement each other is beautifully portrayed elsewhere in the Seven Valleys.</w:t>
      </w:r>
    </w:p>
    <w:p>
      <w:pPr>
        <w:pStyle w:val="BlockText"/>
      </w:pPr>
      <w:r>
        <w:t xml:space="preserve">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pPr>
        <w:pStyle w:val="BlockText"/>
      </w:pPr>
      <w:r>
        <w:t xml:space="preserve">The poor man was weeping from his heart and running in fear, thinking to himself,</w:t>
      </w:r>
      <w:r>
        <w:t xml:space="preserve"> </w:t>
      </w:r>
      <w:r>
        <w:t xml:space="preserve">“</w:t>
      </w:r>
      <w:r>
        <w:t xml:space="preserve">This watchman is my ’Azrá’íl (angel of death), so hastily pursuing me, or perhaps an avenger, harboring enmity against the devotees.</w:t>
      </w:r>
      <w:r>
        <w:t xml:space="preserve">”</w:t>
      </w:r>
      <w:r>
        <w:t xml:space="preserve"> </w:t>
      </w:r>
      <w:r>
        <w:t xml:space="preserve">That man, weary from the arrow of love, kept running and wailing until he reached a garden wall. With great effort and hardship, he managed to climb over the extremely tall wall, sacrificing his very life, and threw himself into the garden.</w:t>
      </w:r>
    </w:p>
    <w:p>
      <w:pPr>
        <w:pStyle w:val="BlockText"/>
      </w:pPr>
      <w:r>
        <w:t xml:space="preserve">He saw his beloved holding a lantern, looking for a lost ring. When the heartbroken lover saw his heart-stealing beloved, he sighed and raised his hands in prayer, saying,</w:t>
      </w:r>
      <w:r>
        <w:t xml:space="preserve"> </w:t>
      </w:r>
      <w:r>
        <w:t xml:space="preserve">“</w:t>
      </w:r>
      <w:r>
        <w:t xml:space="preserve">O God, grant dignity and wealth to these watchmen and preserve them, for they were like Jabrí’íl, guiding this weak soul, or like Isráfíl, giving life to this lowly one.</w:t>
      </w:r>
      <w:r>
        <w:t xml:space="preserve">”</w:t>
      </w:r>
    </w:p>
    <w:p>
      <w:pPr>
        <w:pStyle w:val="FirstParagraph"/>
      </w:pPr>
      <w:r>
        <w:t xml:space="preserve">While this story utilizes the fear of being apprehended by a guard to illustrate its point, Bahá’u’lláh refers to God as a Guardian in books such as the Súríy-i-Haykal. The story is a great example of how the very pressure of fear can deliver you to a spiritual reunion with your Beloved. The man’s gratitude towards the guard for causing fear shows how intricately fear and love are meant to exist together, as moderating forces upon the soul of a believer.</w:t>
      </w:r>
    </w:p>
    <w:p>
      <w:pPr>
        <w:pStyle w:val="BodyText"/>
      </w:pPr>
      <w:r>
        <w:t xml:space="preserve">Now I want to share a short story of my own and thereafter, show how the virtues of the fear and love of God, plus moderation, can illuminate this story.</w:t>
      </w:r>
    </w:p>
    <w:p>
      <w:pPr>
        <w:pStyle w:val="BodyText"/>
      </w:pPr>
      <w:r>
        <w:rPr>
          <w:iCs/>
          <w:i/>
        </w:rPr>
        <w:t xml:space="preserve">Reflection: In a moment of moral pressure, what helps you keep fear from becoming anxiety and love from becoming indulgence?</w:t>
      </w:r>
    </w:p>
    <w:p>
      <w:pPr>
        <w:pStyle w:val="BodyText"/>
      </w:pPr>
      <w:r>
        <w:t xml:space="preserve">With these two forces in place, we can now watch them operate inside a single moment where power, truth, and responsibility collide.</w:t>
      </w:r>
    </w:p>
    <w:bookmarkEnd w:id="288"/>
    <w:bookmarkStart w:id="289" w:name="the-unknown-sister---a-story"/>
    <w:p>
      <w:pPr>
        <w:pStyle w:val="Heading2"/>
      </w:pPr>
      <w:r>
        <w:t xml:space="preserve">7.6 The Unknown Sister - A Story</w:t>
      </w:r>
    </w:p>
    <w:p>
      <w:pPr>
        <w:pStyle w:val="FirstParagraph"/>
      </w:pPr>
      <w:r>
        <w:t xml:space="preserve">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pPr>
        <w:pStyle w:val="BodyText"/>
      </w:pPr>
      <w:r>
        <w:t xml:space="preserve">Her brother sat across from her, hands folded, posture careful. He had insisted she read it first. You’re the executor, he had said simply. I trust you. Whatever it is, we’ll handle it. He meant it, and that made it harder, not easier.</w:t>
      </w:r>
    </w:p>
    <w:p>
      <w:pPr>
        <w:pStyle w:val="BodyText"/>
      </w:pPr>
      <w:r>
        <w:t xml:space="preserve">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pPr>
        <w:pStyle w:val="BodyText"/>
      </w:pPr>
      <w:r>
        <w:t xml:space="preserve">The room was cool, the air conditioning running steadily in the background. The lawyer sat at the head of the table, quiet and professional, ready to answer questions when needed but offering nothing unprompted.</w:t>
      </w:r>
    </w:p>
    <w:p>
      <w:pPr>
        <w:pStyle w:val="BodyText"/>
      </w:pPr>
      <w:r>
        <w:t xml:space="preserve">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pPr>
        <w:pStyle w:val="BodyText"/>
      </w:pPr>
      <w:r>
        <w:t xml:space="preserve">Then she stopped.</w:t>
      </w:r>
    </w:p>
    <w:p>
      <w:pPr>
        <w:pStyle w:val="BodyText"/>
      </w:pPr>
      <w:r>
        <w:t xml:space="preserve">There was a name she didn’t recognize.</w:t>
      </w:r>
    </w:p>
    <w:p>
      <w:pPr>
        <w:pStyle w:val="BodyText"/>
      </w:pPr>
      <w:r>
        <w:t xml:space="preserve">She went back, reading it again, slower this time. The name appeared once, then again, tied to a date of birth. Her mind did the math before she could stop it. Fourteen. Born while her parents were still married, years before her mother’s long illness had taken her.</w:t>
      </w:r>
    </w:p>
    <w:p>
      <w:pPr>
        <w:pStyle w:val="BodyText"/>
      </w:pPr>
      <w:r>
        <w:t xml:space="preserve">Her daughter leaned over and whispered,</w:t>
      </w:r>
      <w:r>
        <w:t xml:space="preserve"> </w:t>
      </w:r>
      <w:r>
        <w:t xml:space="preserve">“</w:t>
      </w:r>
      <w:r>
        <w:t xml:space="preserve">Mama, can I have a snack?</w:t>
      </w:r>
      <w:r>
        <w:t xml:space="preserve">”</w:t>
      </w:r>
    </w:p>
    <w:p>
      <w:pPr>
        <w:pStyle w:val="BodyText"/>
      </w:pPr>
      <w:r>
        <w:t xml:space="preserve">“</w:t>
      </w:r>
      <w:r>
        <w:t xml:space="preserve">In a minute,</w:t>
      </w:r>
      <w:r>
        <w:t xml:space="preserve">”</w:t>
      </w:r>
      <w:r>
        <w:t xml:space="preserve"> </w:t>
      </w:r>
      <w:r>
        <w:t xml:space="preserve">she said softly, without looking up, trying to veil the shakiness she felt deep within her.</w:t>
      </w:r>
    </w:p>
    <w:p>
      <w:pPr>
        <w:pStyle w:val="BodyText"/>
      </w:pPr>
      <w:r>
        <w:t xml:space="preserve">She continued reading. The remaining assets were to be divided into three equal parts. One to her. One to her brother. One to a sister she had never known.</w:t>
      </w:r>
    </w:p>
    <w:p>
      <w:pPr>
        <w:pStyle w:val="BodyText"/>
      </w:pPr>
      <w:r>
        <w:t xml:space="preserve">The room didn’t change, but her body did. Her brother watched her face, reading nothing from it, waiting. He didn’t ask questions. He didn’t lean forward. He simply stayed where he was, steady and present, as if that were the only thing he could responsibly offer.</w:t>
      </w:r>
    </w:p>
    <w:p>
      <w:pPr>
        <w:pStyle w:val="BodyText"/>
      </w:pPr>
      <w:r>
        <w:t xml:space="preserve">She turned the page. There was an address. Another woman’s name. No explanation. No letter. No attempt to frame what this meant or why it was here. Just the facts, laid out with the same neutrality as everything else.</w:t>
      </w:r>
    </w:p>
    <w:p>
      <w:pPr>
        <w:pStyle w:val="BodyText"/>
      </w:pPr>
      <w:r>
        <w:t xml:space="preserve">Her daughter slid off the chair and crouched on the floor, pulling a small car from her bag and rolling it back and forth beneath the table.</w:t>
      </w:r>
      <w:r>
        <w:t xml:space="preserve"> </w:t>
      </w:r>
      <w:r>
        <w:t xml:space="preserve">“</w:t>
      </w:r>
      <w:r>
        <w:t xml:space="preserve">It’s going to the store,</w:t>
      </w:r>
      <w:r>
        <w:t xml:space="preserve">”</w:t>
      </w:r>
      <w:r>
        <w:t xml:space="preserve"> </w:t>
      </w:r>
      <w:r>
        <w:t xml:space="preserve">she announced.</w:t>
      </w:r>
    </w:p>
    <w:p>
      <w:pPr>
        <w:pStyle w:val="BodyText"/>
      </w:pPr>
      <w:r>
        <w:t xml:space="preserve">“</w:t>
      </w:r>
      <w:r>
        <w:t xml:space="preserve">That’s nice,</w:t>
      </w:r>
      <w:r>
        <w:t xml:space="preserve">”</w:t>
      </w:r>
      <w:r>
        <w:t xml:space="preserve"> </w:t>
      </w:r>
      <w:r>
        <w:t xml:space="preserve">she said, her voice calm, practiced.</w:t>
      </w:r>
    </w:p>
    <w:p>
      <w:pPr>
        <w:pStyle w:val="BodyText"/>
      </w:pPr>
      <w:r>
        <w:t xml:space="preserve">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pPr>
        <w:pStyle w:val="BodyText"/>
      </w:pPr>
      <w:r>
        <w:t xml:space="preserve">She glanced at her brother. He gave her a small nod, the kind that said take your time, though he couldn’t possibly know what she had just read. Whatever he saw on her face, he didn’t try to interpret it. He trusted her to carry it first.</w:t>
      </w:r>
    </w:p>
    <w:p>
      <w:pPr>
        <w:pStyle w:val="BodyText"/>
      </w:pPr>
      <w:r>
        <w:t xml:space="preserve">The air in the room felt thick now, as if the coolness had been replaced by something denser.</w:t>
      </w:r>
    </w:p>
    <w:p>
      <w:pPr>
        <w:pStyle w:val="BodyText"/>
      </w:pPr>
      <w:r>
        <w:t xml:space="preserve">She folded the pages carefully, aligning the corners. Her daughter crawled back into her lap, warm and solid, pressing her cheek against her arm. The child smelled faintly of apple slices and vanilla shampoo.</w:t>
      </w:r>
    </w:p>
    <w:p>
      <w:pPr>
        <w:pStyle w:val="BodyText"/>
      </w:pPr>
      <w:r>
        <w:t xml:space="preserve">“</w:t>
      </w:r>
      <w:r>
        <w:t xml:space="preserve">Are we done?</w:t>
      </w:r>
      <w:r>
        <w:t xml:space="preserve">”</w:t>
      </w:r>
      <w:r>
        <w:t xml:space="preserve"> </w:t>
      </w:r>
      <w:r>
        <w:t xml:space="preserve">her daughter asked.</w:t>
      </w:r>
    </w:p>
    <w:p>
      <w:pPr>
        <w:pStyle w:val="BodyText"/>
      </w:pPr>
      <w:r>
        <w:t xml:space="preserve">“</w:t>
      </w:r>
      <w:r>
        <w:t xml:space="preserve">Almost,</w:t>
      </w:r>
      <w:r>
        <w:t xml:space="preserve">”</w:t>
      </w:r>
      <w:r>
        <w:t xml:space="preserve"> </w:t>
      </w:r>
      <w:r>
        <w:t xml:space="preserve">she said.</w:t>
      </w:r>
    </w:p>
    <w:p>
      <w:pPr>
        <w:pStyle w:val="BodyText"/>
      </w:pPr>
      <w:r>
        <w:t xml:space="preserve">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pPr>
        <w:pStyle w:val="BodyText"/>
      </w:pPr>
      <w:r>
        <w:t xml:space="preserve">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pPr>
        <w:pStyle w:val="BodyText"/>
      </w:pPr>
      <w:r>
        <w:rPr>
          <w:iCs/>
          <w:i/>
        </w:rPr>
        <w:t xml:space="preserve">Reflection: When a truth places power in your hands, what inner posture helps you keep responsibility from turning into control or avoidance?</w:t>
      </w:r>
    </w:p>
    <w:p>
      <w:pPr>
        <w:pStyle w:val="BodyText"/>
      </w:pPr>
      <w:r>
        <w:t xml:space="preserve">To see how virtues illuminate action, we now return to the same moment and observe it through fear, love, and moderation.</w:t>
      </w:r>
    </w:p>
    <w:bookmarkEnd w:id="289"/>
    <w:bookmarkStart w:id="293" w:name="Xe7406ddac38034f9311d34fc51dacefbad12e26"/>
    <w:p>
      <w:pPr>
        <w:pStyle w:val="Heading2"/>
      </w:pPr>
      <w:r>
        <w:t xml:space="preserve">7.7 Illuminations of the Unknown Sister - Foundational Virtues</w:t>
      </w:r>
    </w:p>
    <w:bookmarkStart w:id="290" w:name="fear-of-god"/>
    <w:p>
      <w:pPr>
        <w:pStyle w:val="Heading3"/>
      </w:pPr>
      <w:r>
        <w:t xml:space="preserve">7.7.1 Fear of God</w:t>
      </w:r>
    </w:p>
    <w:p>
      <w:pPr>
        <w:pStyle w:val="FirstParagraph"/>
      </w:pPr>
      <w:r>
        <w:t xml:space="preserve">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bookmarkEnd w:id="290"/>
    <w:bookmarkStart w:id="291" w:name="love-of-god"/>
    <w:p>
      <w:pPr>
        <w:pStyle w:val="Heading3"/>
      </w:pPr>
      <w:r>
        <w:t xml:space="preserve">7.7.2 Love of God</w:t>
      </w:r>
    </w:p>
    <w:p>
      <w:pPr>
        <w:pStyle w:val="FirstParagraph"/>
      </w:pPr>
      <w:r>
        <w:t xml:space="preserve">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bookmarkEnd w:id="291"/>
    <w:bookmarkStart w:id="292" w:name="moderation-1"/>
    <w:p>
      <w:pPr>
        <w:pStyle w:val="Heading3"/>
      </w:pPr>
      <w:r>
        <w:t xml:space="preserve">7.7.3 Moderation</w:t>
      </w:r>
    </w:p>
    <w:p>
      <w:pPr>
        <w:pStyle w:val="FirstParagraph"/>
      </w:pPr>
      <w:r>
        <w:t xml:space="preserve">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pPr>
        <w:pStyle w:val="BodyText"/>
      </w:pPr>
      <w:r>
        <w:rPr>
          <w:iCs/>
          <w:i/>
        </w:rPr>
        <w:t xml:space="preserve">Reflection: Which virtue in this illumination feels most difficult to embody when your emotions are loud and the consequences are real?</w:t>
      </w:r>
    </w:p>
    <w:p>
      <w:pPr>
        <w:pStyle w:val="BodyText"/>
      </w:pPr>
      <w:r>
        <w:t xml:space="preserve">To close the chapter, we now set the trajectory for how each practice in Part 2 will restore an innate virtue and help other virtues emerge.</w:t>
      </w:r>
    </w:p>
    <w:bookmarkEnd w:id="292"/>
    <w:bookmarkEnd w:id="293"/>
    <w:bookmarkStart w:id="294" w:name="summary-1"/>
    <w:p>
      <w:pPr>
        <w:pStyle w:val="Heading2"/>
      </w:pPr>
      <w:r>
        <w:t xml:space="preserve">7.8 Summary</w:t>
      </w:r>
    </w:p>
    <w:p>
      <w:pPr>
        <w:pStyle w:val="FirstParagraph"/>
      </w:pPr>
      <w:r>
        <w:t xml:space="preserve">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w:t>
      </w:r>
      <w:r>
        <w:t xml:space="preserve"> </w:t>
      </w:r>
      <w:r>
        <w:t xml:space="preserve">“</w:t>
      </w:r>
      <w:r>
        <w:t xml:space="preserve">The Unknown Sister.</w:t>
      </w:r>
      <w:r>
        <w:t xml:space="preserve">”</w:t>
      </w:r>
      <w:r>
        <w:t xml:space="preserve"> </w:t>
      </w:r>
      <w:r>
        <w:t xml:space="preserve">From there, each chapter will deepen the same moral moment, so that by Chapter 13 we can see unity not as an abstract ideal, but as a constellation we learn to navigate when truth arrives with weight and responsibility.</w:t>
      </w:r>
    </w:p>
    <w:p>
      <w:r>
        <w:br w:type="page"/>
      </w:r>
    </w:p>
    <w:bookmarkEnd w:id="294"/>
    <w:bookmarkEnd w:id="295"/>
    <w:bookmarkStart w:id="328" w:name="prayer"/>
    <w:p>
      <w:pPr>
        <w:pStyle w:val="Heading1"/>
      </w:pPr>
      <w:r>
        <w:t xml:space="preserve">8. Prayer</w:t>
      </w:r>
    </w:p>
    <w:bookmarkStart w:id="296" w:name="introduction-1"/>
    <w:p>
      <w:pPr>
        <w:pStyle w:val="Heading2"/>
      </w:pPr>
      <w:r>
        <w:t xml:space="preserve">8.1 Introduction</w:t>
      </w:r>
    </w:p>
    <w:p>
      <w:pPr>
        <w:pStyle w:val="FirstParagraph"/>
      </w:pPr>
      <w:r>
        <w:t xml:space="preserve">Prayer is the first spiritual practice this book presents. Bahá’u’lláh dedicated a large part of the Kitáb-i-Aqdas to prayer. This chapter will describe what the Book discusses regarding prayer, and some emergent virtues from piety which are cultivated by the spiritual practice of prayer. There is obligatory prayer, which is a required daily practice. There is also non-obligatory prayer, which is personal prayer whenever you feel the need or desire to communicate with God. Prayer is like calibrating a compass before you walk into the day, because it helps the soul remember which direction is truly north.</w:t>
      </w:r>
    </w:p>
    <w:p>
      <w:pPr>
        <w:pStyle w:val="BodyText"/>
      </w:pPr>
      <w:r>
        <w:rPr>
          <w:iCs/>
          <w:i/>
        </w:rPr>
        <w:t xml:space="preserve">Reflection: When you think of prayer as daily calibration, what would change in how you approach obligation, sincerity, and freedom?</w:t>
      </w:r>
    </w:p>
    <w:p>
      <w:pPr>
        <w:pStyle w:val="BodyText"/>
      </w:pPr>
      <w:r>
        <w:t xml:space="preserve">We begin by clarifying who is required to pray, because the boundaries of duty reveal the mercy within the command.</w:t>
      </w:r>
    </w:p>
    <w:bookmarkEnd w:id="296"/>
    <w:bookmarkStart w:id="300" w:name="who-is-required-to-pray"/>
    <w:p>
      <w:pPr>
        <w:pStyle w:val="Heading2"/>
      </w:pPr>
      <w:r>
        <w:t xml:space="preserve">8.2 Who is Required to Pray</w:t>
      </w:r>
    </w:p>
    <w:p>
      <w:pPr>
        <w:pStyle w:val="FirstParagraph"/>
      </w:pPr>
      <w:r>
        <w:t xml:space="preserve">The age of maturity is the age when a believer is first required to pray, as well as other religious duties such as fasting.</w:t>
      </w:r>
      <w:r>
        <w:rPr>
          <w:rStyle w:val="FootnoteReference"/>
        </w:rPr>
        <w:footnoteReference w:id="297"/>
      </w:r>
      <w:r>
        <w:t xml:space="preserve"> </w:t>
      </w:r>
      <w:r>
        <w:t xml:space="preserve">The age of maturity will be discussed more in-depth in Chapter 15</w:t>
      </w:r>
      <w:r>
        <w:t xml:space="preserve"> </w:t>
      </w:r>
      <w:r>
        <w:t xml:space="preserve">“</w:t>
      </w:r>
      <w:r>
        <w:t xml:space="preserve">From Maturity to Devotion,</w:t>
      </w:r>
      <w:r>
        <w:t xml:space="preserve">”</w:t>
      </w:r>
      <w:r>
        <w:t xml:space="preserve"> </w:t>
      </w:r>
      <w:r>
        <w:t xml:space="preserve">but the age is defined as 11 for spiritual practices.</w:t>
      </w:r>
      <w:r>
        <w:rPr>
          <w:rStyle w:val="FootnoteReference"/>
        </w:rPr>
        <w:footnoteReference w:id="298"/>
      </w:r>
    </w:p>
    <w:p>
      <w:pPr>
        <w:pStyle w:val="BodyText"/>
      </w:pPr>
      <w:r>
        <w:t xml:space="preserve">Prayer is also not required if any person is ill or if they are in old age. Old age is not defined, but at this time it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pPr>
        <w:pStyle w:val="BodyText"/>
      </w:pPr>
      <w:r>
        <w:t xml:space="preserve">A woman who is menstruating does not have to perform obligatory prayer nor fast</w:t>
      </w:r>
      <w:r>
        <w:rPr>
          <w:rStyle w:val="FootnoteReference"/>
        </w:rPr>
        <w:footnoteReference w:id="299"/>
      </w:r>
      <w:r>
        <w:t xml:space="preserve">. She is to perform the ablutions and repeat the phrase</w:t>
      </w:r>
      <w:r>
        <w:t xml:space="preserve"> </w:t>
      </w:r>
      <w:r>
        <w:t xml:space="preserve">“</w:t>
      </w:r>
      <w:r>
        <w:t xml:space="preserve">Glory be to God, the Lord of Splendor and Beauty</w:t>
      </w:r>
      <w:r>
        <w:t xml:space="preserve">”</w:t>
      </w:r>
      <w:r>
        <w:t xml:space="preserve"> </w:t>
      </w:r>
      <w:r>
        <w:t xml:space="preserve">95 times in a 24-hour period starting at noon. This repetition does not need to be done all at once, and there is no particular method described. How she performs this spiritual task is entirely up to her. This exclusion is not due to her being impure, but rather a mercy. As the medium and long prayers include the physical acts of prostration, the pain associated with prostrating might be distracting. I don’t believe God wants us to be unduly troubled during prayer. The act of remembrance, covered more deeply in Chapter 10, is also equally important as prayer. I hope a person would not feel a woman is spiritually weaker for praying less than is required of a man and find remembrance to be as vital to the soul as prayer is.</w:t>
      </w:r>
    </w:p>
    <w:p>
      <w:pPr>
        <w:pStyle w:val="BodyText"/>
      </w:pPr>
      <w:r>
        <w:rPr>
          <w:iCs/>
          <w:i/>
        </w:rPr>
        <w:t xml:space="preserve">Reflection: Where do you see mercy operating inside religious duty, especially where life stages and bodily realities make devotion more demanding?</w:t>
      </w:r>
    </w:p>
    <w:p>
      <w:pPr>
        <w:pStyle w:val="BodyText"/>
      </w:pPr>
      <w:r>
        <w:t xml:space="preserve">With duty clarified, we can now look at how prayer begins, not with complexity, but with simple preparation.</w:t>
      </w:r>
    </w:p>
    <w:bookmarkEnd w:id="300"/>
    <w:bookmarkStart w:id="303" w:name="preparation-for-obligatory-prayer"/>
    <w:p>
      <w:pPr>
        <w:pStyle w:val="Heading2"/>
      </w:pPr>
      <w:r>
        <w:t xml:space="preserve">8.3 Preparation for Obligatory Prayer</w:t>
      </w:r>
    </w:p>
    <w:p>
      <w:pPr>
        <w:pStyle w:val="FirstParagraph"/>
      </w:pPr>
      <w:r>
        <w:t xml:space="preserve">Ablutions are required in preparation for obligatory prayer.</w:t>
      </w:r>
      <w:r>
        <w:rPr>
          <w:rStyle w:val="FootnoteReference"/>
        </w:rPr>
        <w:footnoteReference w:id="301"/>
      </w:r>
      <w:r>
        <w:t xml:space="preserve"> </w:t>
      </w:r>
      <w:r>
        <w:t xml:space="preserve">An ablution is the washing of your hands and face with water. If ablutions cannot be performed, the short prayer should be offered to God prior to the obligatory prayer,</w:t>
      </w:r>
      <w:r>
        <w:t xml:space="preserve"> </w:t>
      </w:r>
      <w:r>
        <w:t xml:space="preserve">“</w:t>
      </w:r>
      <w:r>
        <w:t xml:space="preserve">In the Name of God, the Purest, the Purest,</w:t>
      </w:r>
      <w:r>
        <w:t xml:space="preserve">”</w:t>
      </w:r>
      <w:r>
        <w:t xml:space="preserve"> </w:t>
      </w:r>
      <w:r>
        <w:t xml:space="preserve">five times. The purpose of ablution is a ritualistic way to symbolize purifying yourself prior to prayer. While ablutions are an outer form of purifying, one must not neglect the aspects of purifying inwardly. There are no hard rules, but I feel part of the purpose of the obligatory prayer is to purify. The Ṣalát-i-Kabír (Great Obligatory Prayer) is a great example.</w:t>
      </w:r>
    </w:p>
    <w:p>
      <w:pPr>
        <w:pStyle w:val="BodyText"/>
      </w:pPr>
      <w:r>
        <w:t xml:space="preserve">There are no other preparations described. However, the prayer is meant to be an individual act with the requirement of congregational prayer being lifted.</w:t>
      </w:r>
      <w:r>
        <w:rPr>
          <w:rStyle w:val="FootnoteReference"/>
        </w:rPr>
        <w:footnoteReference w:id="302"/>
      </w:r>
      <w:r>
        <w:t xml:space="preserve"> </w:t>
      </w:r>
      <w:r>
        <w:t xml:space="preserve">There should be no pressure to pray with others.</w:t>
      </w:r>
    </w:p>
    <w:p>
      <w:pPr>
        <w:pStyle w:val="BodyText"/>
      </w:pPr>
      <w:r>
        <w:t xml:space="preserve">For personal prayer, ablutions do not need to be performed although you could if you want to.</w:t>
      </w:r>
    </w:p>
    <w:p>
      <w:pPr>
        <w:pStyle w:val="BodyText"/>
      </w:pPr>
      <w:r>
        <w:rPr>
          <w:iCs/>
          <w:i/>
        </w:rPr>
        <w:t xml:space="preserve">Reflection: What would it look like to treat ablutions as a symbol of inner cleansing rather than as a test of outward perfection?</w:t>
      </w:r>
    </w:p>
    <w:p>
      <w:pPr>
        <w:pStyle w:val="BodyText"/>
      </w:pPr>
      <w:r>
        <w:t xml:space="preserve">Once preparation is simple, the next question becomes practical: how long must prayer be, and how long may it be?</w:t>
      </w:r>
    </w:p>
    <w:bookmarkEnd w:id="303"/>
    <w:bookmarkStart w:id="304" w:name="length-of-prayer"/>
    <w:p>
      <w:pPr>
        <w:pStyle w:val="Heading2"/>
      </w:pPr>
      <w:r>
        <w:t xml:space="preserve">8.4 Length of Prayer</w:t>
      </w:r>
    </w:p>
    <w:p>
      <w:pPr>
        <w:pStyle w:val="FirstParagraph"/>
      </w:pPr>
      <w:r>
        <w:t xml:space="preserve">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deep meditation and can take at least fifteen minutes. All of the times can vary depending on if you sing, take time to reflect on the words, or even repeat some of the invocations.</w:t>
      </w:r>
    </w:p>
    <w:p>
      <w:pPr>
        <w:pStyle w:val="BodyText"/>
      </w:pPr>
      <w:r>
        <w:t xml:space="preserve">For individualized non-obligatory prayer, the length does not matter. I feel the obligatory prayer, while designed to stand alone without other prayers, can be a great way to lead into personal prayer. Personal prayer is where you say what is within your heart to God. The obligatory prayer can help set the stage for establishing sincerity, detachment, and other spiritual qualities. Still, pray whenever you feel like it.</w:t>
      </w:r>
    </w:p>
    <w:p>
      <w:pPr>
        <w:pStyle w:val="BodyText"/>
      </w:pPr>
      <w:r>
        <w:rPr>
          <w:iCs/>
          <w:i/>
        </w:rPr>
        <w:t xml:space="preserve">Reflection: If prayer is a daily foundation, how do you keep flexibility from becoming neglect, and discipline from becoming burden?</w:t>
      </w:r>
    </w:p>
    <w:p>
      <w:pPr>
        <w:pStyle w:val="BodyText"/>
      </w:pPr>
      <w:r>
        <w:t xml:space="preserve">After length, the next practical question is timing, because daily rhythm shapes what devotion becomes over time.</w:t>
      </w:r>
    </w:p>
    <w:bookmarkEnd w:id="304"/>
    <w:bookmarkStart w:id="306" w:name="time-of-day"/>
    <w:p>
      <w:pPr>
        <w:pStyle w:val="Heading2"/>
      </w:pPr>
      <w:r>
        <w:t xml:space="preserve">8.5 Time of Day</w:t>
      </w:r>
    </w:p>
    <w:p>
      <w:pPr>
        <w:pStyle w:val="FirstParagraph"/>
      </w:pPr>
      <w:r>
        <w:t xml:space="preserve">The obligatory prayer was originally to be performed three times per day. Once in the morning between sunrise and noon. The second time would be between noon and sunset. The final time is from sunset until two hours after sunset. These instructions follow with the midmost prayer, which is designed most closely to the original prayer prescribed in the Kitáb-i-Aqdas.</w:t>
      </w:r>
    </w:p>
    <w:p>
      <w:pPr>
        <w:pStyle w:val="BodyText"/>
      </w:pPr>
      <w:r>
        <w:t xml:space="preserve">The small prayer is to be performed at noon, which is from noon until sunset. The great prayer is to be performed anytime in the 24-hour period.</w:t>
      </w:r>
    </w:p>
    <w:p>
      <w:pPr>
        <w:pStyle w:val="BodyText"/>
      </w:pPr>
      <w:r>
        <w:t xml:space="preserve">For believers who are in high latitudes where the time of day can vary greatly depending on the season, the use of watches and clocks to determine prayer times is acceptable.</w:t>
      </w:r>
      <w:r>
        <w:rPr>
          <w:rStyle w:val="FootnoteReference"/>
        </w:rPr>
        <w:footnoteReference w:id="305"/>
      </w:r>
      <w:r>
        <w:t xml:space="preserve"> </w:t>
      </w:r>
      <w:r>
        <w:t xml:space="preserve">For example, in Calgary, Canada, sunset is close to 10 p.m. during the summer solstice and closer to 8 p.m. during the spring equinox. In Quito, Ecuador, sunset is at 6:21 p.m. In Quito, sunset is usually around the same time due to its location at the equator. A person in Calgary could choose to do the evening prayer closer to 8 p.m. year-round as that could be similar to the spring equinox, or maybe they choose a random location near the equator such as in Quito. Any of these alternatives are acceptable as it can reasonably be sunset somewhere in that longitude.</w:t>
      </w:r>
    </w:p>
    <w:p>
      <w:pPr>
        <w:pStyle w:val="BodyText"/>
      </w:pPr>
      <w:r>
        <w:t xml:space="preserve">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pPr>
        <w:pStyle w:val="BodyText"/>
      </w:pPr>
      <w:r>
        <w:t xml:space="preserve">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pre-recorded music to guide me.</w:t>
      </w:r>
    </w:p>
    <w:p>
      <w:pPr>
        <w:pStyle w:val="BodyText"/>
      </w:pPr>
      <w:r>
        <w:t xml:space="preserve">No matter what, the important aspect is that prayer is done at least once per day.</w:t>
      </w:r>
    </w:p>
    <w:p>
      <w:pPr>
        <w:pStyle w:val="BodyText"/>
      </w:pPr>
      <w:r>
        <w:rPr>
          <w:iCs/>
          <w:i/>
        </w:rPr>
        <w:t xml:space="preserve">Reflection: When time becomes irregular, how do you preserve the spirit of daily prayer without turning it into a scheduling anxiety?</w:t>
      </w:r>
    </w:p>
    <w:p>
      <w:pPr>
        <w:pStyle w:val="BodyText"/>
      </w:pPr>
      <w:r>
        <w:t xml:space="preserve">Once timing is understood, we can now consider orientation, because direction becomes a physical reminder of what the heart is turning toward.</w:t>
      </w:r>
    </w:p>
    <w:bookmarkEnd w:id="306"/>
    <w:bookmarkStart w:id="308" w:name="direction-of-prayer"/>
    <w:p>
      <w:pPr>
        <w:pStyle w:val="Heading2"/>
      </w:pPr>
      <w:r>
        <w:t xml:space="preserve">8.6 Direction of Prayer</w:t>
      </w:r>
    </w:p>
    <w:p>
      <w:pPr>
        <w:pStyle w:val="FirstParagraph"/>
      </w:pPr>
      <w:r>
        <w:t xml:space="preserve">The direction of obligatory prayer is called the Qiblih, or the point of adoration. As the point is currently the point where the Sun of Truth and Explanation had set, this would be the Mansion of Bahjí in present-day ’Akká, Israel.</w:t>
      </w:r>
    </w:p>
    <w:p>
      <w:pPr>
        <w:pStyle w:val="BodyText"/>
      </w:pPr>
      <w:r>
        <w:t xml:space="preserve">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al-Muntahá and reflects the names and attributes of God. If we turn our souls towards Bahá’u’lláh, it helps our souls to also reflect these names and attributes as mirrors. Say, in one example, we turn to the Qiblih and by doing so, we turn to God’s name the All-Bountiful.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pPr>
        <w:pStyle w:val="BodyText"/>
      </w:pPr>
      <w:r>
        <w:t xml:space="preserve">Although we are mirrors and prayer helps us reflect the names and attributes of God, we must not be thinking of any particular name or attribute of God during prayer. The Báb says this in the Persian Bayán</w:t>
      </w:r>
      <w:r>
        <w:rPr>
          <w:iCs/>
          <w:i/>
          <w:bCs/>
          <w:b/>
        </w:rPr>
        <w:t xml:space="preserve">,</w:t>
      </w:r>
      <w:r>
        <w:t xml:space="preserve"> </w:t>
      </w:r>
      <w:r>
        <w:t xml:space="preserve">“</w:t>
      </w:r>
      <w:r>
        <w:t xml:space="preserve">The worshiper, during prayer, should see none but their Beloved and focus solely on God, One without Partner. If they bring to mind any name or attribute in their worship, they become veiled, and their worship is not accepted.</w:t>
      </w:r>
      <w:r>
        <w:t xml:space="preserve">”</w:t>
      </w:r>
      <w:r>
        <w:rPr>
          <w:rStyle w:val="FootnoteReference"/>
        </w:rPr>
        <w:footnoteReference w:id="307"/>
      </w:r>
    </w:p>
    <w:p>
      <w:pPr>
        <w:pStyle w:val="BodyText"/>
      </w:pPr>
      <w:r>
        <w:t xml:space="preserve">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pPr>
        <w:pStyle w:val="BodyText"/>
      </w:pPr>
      <w:r>
        <w:t xml:space="preserve">As a simple side note, ’Akká is one of the world’s longest continuously lived settlements, going back to the Bronze Age. It also served as the final stronghold for Christian Crusaders before they were defeated by the Mamluks. Today ’Akká is a diverse small city with a well-balanced mix of people of various religions.</w:t>
      </w:r>
    </w:p>
    <w:p>
      <w:pPr>
        <w:pStyle w:val="BodyText"/>
      </w:pPr>
      <w:r>
        <w:rPr>
          <w:iCs/>
          <w:i/>
        </w:rPr>
        <w:t xml:space="preserve">Reflection: When you physically turn toward the Qiblih, what inner turning do you most need in that same moment?</w:t>
      </w:r>
    </w:p>
    <w:p>
      <w:pPr>
        <w:pStyle w:val="BodyText"/>
      </w:pPr>
      <w:r>
        <w:t xml:space="preserve">With direction established, we can now see why prayer is protected from hierarchy, so that worship remains addressed to God alone.</w:t>
      </w:r>
    </w:p>
    <w:bookmarkEnd w:id="308"/>
    <w:bookmarkStart w:id="311" w:name="congregational-prayer"/>
    <w:p>
      <w:pPr>
        <w:pStyle w:val="Heading2"/>
      </w:pPr>
      <w:r>
        <w:t xml:space="preserve">8.7 Congregational Prayer</w:t>
      </w:r>
    </w:p>
    <w:p>
      <w:pPr>
        <w:pStyle w:val="FirstParagraph"/>
      </w:pPr>
      <w:r>
        <w:t xml:space="preserve">The Báb had prohibited congregational prayer except for the prayer for the deceased.</w:t>
      </w:r>
      <w:r>
        <w:rPr>
          <w:rStyle w:val="FootnoteReference"/>
        </w:rPr>
        <w:footnoteReference w:id="309"/>
      </w:r>
      <w:r>
        <w:t xml:space="preserve"> </w:t>
      </w:r>
      <w:r>
        <w:t xml:space="preserve">The Báb explains none may worship God in a station beneath God. He continues by saying any designated prayer leader, such as an Imam, represents a letter of affirmation but presents themselves as a letter of negation when a new revelation exists. The prayer leader’s affirmation is only an outward appearance instead of a spiritual condition. They are no longer allowed to lead. This keeps our prayer focused on God.</w:t>
      </w:r>
    </w:p>
    <w:p>
      <w:pPr>
        <w:pStyle w:val="BodyText"/>
      </w:pPr>
      <w:r>
        <w:t xml:space="preserve">Bahá’u’lláh continues the prohibition in the Kitáb-i-Aqdas.</w:t>
      </w:r>
      <w:r>
        <w:rPr>
          <w:rStyle w:val="FootnoteReference"/>
        </w:rPr>
        <w:footnoteReference w:id="310"/>
      </w:r>
      <w:r>
        <w:t xml:space="preserve"> </w:t>
      </w:r>
      <w:r>
        <w:t xml:space="preserve">He provides some changes to the Prayer of the Dead.</w:t>
      </w:r>
    </w:p>
    <w:p>
      <w:pPr>
        <w:pStyle w:val="BodyText"/>
      </w:pPr>
      <w:r>
        <w:rPr>
          <w:iCs/>
          <w:i/>
        </w:rPr>
        <w:t xml:space="preserve">Reflection: What changes in your own prayer when there is no religious hierarchy between you and God?</w:t>
      </w:r>
    </w:p>
    <w:p>
      <w:pPr>
        <w:pStyle w:val="BodyText"/>
      </w:pPr>
      <w:r>
        <w:t xml:space="preserve">With congregational prayer limited, the one exception becomes a window into how a community can honor a soul with unity and humility.</w:t>
      </w:r>
    </w:p>
    <w:bookmarkEnd w:id="311"/>
    <w:bookmarkStart w:id="312" w:name="the-prayer-for-the-dead"/>
    <w:p>
      <w:pPr>
        <w:pStyle w:val="Heading2"/>
      </w:pPr>
      <w:r>
        <w:t xml:space="preserve">8.8 The Prayer for the Dead</w:t>
      </w:r>
    </w:p>
    <w:p>
      <w:pPr>
        <w:pStyle w:val="FirstParagraph"/>
      </w:pPr>
      <w:r>
        <w:t xml:space="preserve">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pPr>
        <w:pStyle w:val="BodyText"/>
      </w:pPr>
      <w:r>
        <w:t xml:space="preserve">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pPr>
        <w:pStyle w:val="BodyText"/>
      </w:pPr>
      <w:r>
        <w:t xml:space="preserve">The person should be buried with spirit and fragrance.</w:t>
      </w:r>
    </w:p>
    <w:p>
      <w:pPr>
        <w:pStyle w:val="BodyText"/>
      </w:pPr>
      <w:r>
        <w:rPr>
          <w:iCs/>
          <w:i/>
        </w:rPr>
        <w:t xml:space="preserve">Reflection: How does praying together for the deceased reveal unity without creating spiritual rank among the living?</w:t>
      </w:r>
    </w:p>
    <w:p>
      <w:pPr>
        <w:pStyle w:val="BodyText"/>
      </w:pPr>
      <w:r>
        <w:t xml:space="preserve">From burial prayer, we turn to accessibility, because Bahá’u’lláh removes many barriers that once turned purity into exclusion.</w:t>
      </w:r>
    </w:p>
    <w:bookmarkEnd w:id="312"/>
    <w:bookmarkStart w:id="315" w:name="no-restrictions-on-hair-and-clothing"/>
    <w:p>
      <w:pPr>
        <w:pStyle w:val="Heading2"/>
      </w:pPr>
      <w:r>
        <w:t xml:space="preserve">8.9 No Restrictions on Hair and Clothing</w:t>
      </w:r>
    </w:p>
    <w:p>
      <w:pPr>
        <w:pStyle w:val="FirstParagraph"/>
      </w:pPr>
      <w:r>
        <w:t xml:space="preserve">A person can wear their hair as they wish.</w:t>
      </w:r>
      <w:r>
        <w:rPr>
          <w:rStyle w:val="FootnoteReference"/>
        </w:rPr>
        <w:footnoteReference w:id="313"/>
      </w:r>
      <w:r>
        <w:t xml:space="preserve"> </w:t>
      </w:r>
      <w:r>
        <w:t xml:space="preserve">Bahá’u’lláh refers to bones and the like as not being able to invalidate the prayer. The clothing materials worn during prayer also do not invalidate prayer. These are items which religious scholars and leaders had often described as making a person impure, or causing their prayer to have less effect. It is a primary reason why you might see a Muslim woman put on a clean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pPr>
        <w:pStyle w:val="BodyText"/>
      </w:pPr>
      <w:r>
        <w:t xml:space="preserve">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to God, giving God human and animal attributes falsely.</w:t>
      </w:r>
    </w:p>
    <w:p>
      <w:pPr>
        <w:pStyle w:val="BodyText"/>
      </w:pPr>
      <w:r>
        <w:t xml:space="preserve">A female believer can also interpret these lack of restrictions as she pleases. Could a woman, in private, pray without any clothing? Could a woman wear athletic shorts and a sports bra? Could she wear a burqa? This is entirely left up to her and her only.</w:t>
      </w:r>
    </w:p>
    <w:p>
      <w:pPr>
        <w:pStyle w:val="BodyText"/>
      </w:pPr>
      <w:r>
        <w:t xml:space="preserve">Bahá’u’lláh does regularly use garments as a symbol of our character. An example is in a letter to ’Alí Akbar, where Bahá’u’lláh hopes all the friends of God may be adorned with the garment of sanctity.</w:t>
      </w:r>
      <w:r>
        <w:rPr>
          <w:rStyle w:val="FootnoteReference"/>
        </w:rPr>
        <w:footnoteReference w:id="314"/>
      </w:r>
      <w:r>
        <w:t xml:space="preserve"> </w:t>
      </w:r>
      <w:r>
        <w:t xml:space="preserve">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pPr>
        <w:pStyle w:val="BodyText"/>
      </w:pPr>
      <w:r>
        <w:rPr>
          <w:iCs/>
          <w:i/>
        </w:rPr>
        <w:t xml:space="preserve">Reflection: When outward restrictions fall away, what inner sincerity remains, and how do you keep it from becoming performance?</w:t>
      </w:r>
    </w:p>
    <w:p>
      <w:pPr>
        <w:pStyle w:val="BodyText"/>
      </w:pPr>
      <w:r>
        <w:t xml:space="preserve">With clothing freed, the next reminder is simple and physical, because even prostration asks only for cleanliness and reverence.</w:t>
      </w:r>
    </w:p>
    <w:bookmarkEnd w:id="315"/>
    <w:bookmarkStart w:id="316" w:name="clean-flooring"/>
    <w:p>
      <w:pPr>
        <w:pStyle w:val="Heading2"/>
      </w:pPr>
      <w:r>
        <w:t xml:space="preserve">8.10 Clean Flooring</w:t>
      </w:r>
    </w:p>
    <w:p>
      <w:pPr>
        <w:pStyle w:val="FirstParagraph"/>
      </w:pPr>
      <w:r>
        <w:t xml:space="preserve">For prostration, Bahá’u’lláh allows for any clean surface. This does mean the surface must be clean. A person may use a clean prayer rug, but a prayer rug is not required. You could be on old wooden flooring, and it is acceptable if it is clean. You could be on the finest marble and it is acceptable if it is clean. Once again, the idea is for prayer to be accessible and focused on the spirit, not the material.</w:t>
      </w:r>
    </w:p>
    <w:p>
      <w:pPr>
        <w:pStyle w:val="BodyText"/>
      </w:pPr>
      <w:r>
        <w:rPr>
          <w:iCs/>
          <w:i/>
        </w:rPr>
        <w:t xml:space="preserve">Reflection: What does it teach you about God when prayer is made accessible on any clean surface, regardless of status or setting?</w:t>
      </w:r>
    </w:p>
    <w:p>
      <w:pPr>
        <w:pStyle w:val="BodyText"/>
      </w:pPr>
      <w:r>
        <w:t xml:space="preserve">From ordinary surfaces, we move to extraordinary moments, because fear and awe can become doorways for remembrance rather than panic.</w:t>
      </w:r>
    </w:p>
    <w:bookmarkEnd w:id="316"/>
    <w:bookmarkStart w:id="317" w:name="Xc933849544997ae054368318d65824be65794d8"/>
    <w:p>
      <w:pPr>
        <w:pStyle w:val="Heading2"/>
      </w:pPr>
      <w:r>
        <w:t xml:space="preserve">8.11 In Times of Exceptional Natural Phenomena</w:t>
      </w:r>
    </w:p>
    <w:p>
      <w:pPr>
        <w:pStyle w:val="FirstParagraph"/>
      </w:pPr>
      <w:r>
        <w:t xml:space="preserve">The Báb had outlined a specific prayer for the signs, or natural phenomena. Bahá’u’lláh has abrogated this and says we only need to say,</w:t>
      </w:r>
      <w:r>
        <w:t xml:space="preserve"> </w:t>
      </w:r>
      <w:r>
        <w:t xml:space="preserve">“</w:t>
      </w:r>
      <w:r>
        <w:t xml:space="preserve">Greatness belongs to God, the Lord of what is seen and what is unseen, the Lord of all the worlds.</w:t>
      </w:r>
      <w:r>
        <w:t xml:space="preserve">”</w:t>
      </w:r>
    </w:p>
    <w:p>
      <w:pPr>
        <w:pStyle w:val="BodyText"/>
      </w:pPr>
      <w:r>
        <w:t xml:space="preserve">The verse is a great reminder in times of fear and distress. Sometimes in the greatness of human potential, nature offers humbling and dangerous experiences. Being able to remember that whatever we are experiencing, no matter how great or awe-inspiring it seems, it is not as great as God. God is the Lord of what we have observed and the Lord of what we have not yet observed. Hopefully these words can provide solace in those times of exceptional natural phenomena, the signs of God.</w:t>
      </w:r>
    </w:p>
    <w:p>
      <w:pPr>
        <w:pStyle w:val="BodyText"/>
      </w:pPr>
      <w:r>
        <w:rPr>
          <w:iCs/>
          <w:i/>
        </w:rPr>
        <w:t xml:space="preserve">Reflection: In moments when nature overwhelms you, what helps you turn awe into worship instead of anxiety?</w:t>
      </w:r>
    </w:p>
    <w:p>
      <w:pPr>
        <w:pStyle w:val="BodyText"/>
      </w:pPr>
      <w:r>
        <w:t xml:space="preserve">From extraordinary moments, we move to ordinary disruption, because travel tests whether devotion is flexible without becoming optional.</w:t>
      </w:r>
    </w:p>
    <w:bookmarkEnd w:id="317"/>
    <w:bookmarkStart w:id="318" w:name="during-travel"/>
    <w:p>
      <w:pPr>
        <w:pStyle w:val="Heading2"/>
      </w:pPr>
      <w:r>
        <w:t xml:space="preserve">8.12 During Travel</w:t>
      </w:r>
    </w:p>
    <w:p>
      <w:pPr>
        <w:pStyle w:val="FirstParagraph"/>
      </w:pPr>
      <w:r>
        <w:t xml:space="preserve">During travel, obligatory prayer may be replaced while taking rest. The first option is to do a single prostration on a clean surface and recite</w:t>
      </w:r>
      <w:r>
        <w:t xml:space="preserve"> </w:t>
      </w:r>
      <w:r>
        <w:t xml:space="preserve">“</w:t>
      </w:r>
      <w:r>
        <w:t xml:space="preserve">Glory be to God, the Lord of Grandeur and Majesty, of Bounty and Grace.</w:t>
      </w:r>
      <w:r>
        <w:t xml:space="preserve">”</w:t>
      </w:r>
      <w:r>
        <w:t xml:space="preserve"> </w:t>
      </w:r>
      <w:r>
        <w:t xml:space="preserve">If one is unable to find a clean surface or is unable to prostrate for any reason, the second option is to say</w:t>
      </w:r>
      <w:r>
        <w:t xml:space="preserve"> </w:t>
      </w:r>
      <w:r>
        <w:t xml:space="preserve">“</w:t>
      </w:r>
      <w:r>
        <w:t xml:space="preserve">Glory be to God.</w:t>
      </w:r>
      <w:r>
        <w:t xml:space="preserve">”</w:t>
      </w:r>
    </w:p>
    <w:p>
      <w:pPr>
        <w:pStyle w:val="BodyText"/>
      </w:pPr>
      <w:r>
        <w:t xml:space="preserve">After the prostration, sit in the position of unity. I interpret this as a cross-legged position common to many religions, but you may have another way to sit which demonstrates reverence. While seated, say</w:t>
      </w:r>
      <w:r>
        <w:t xml:space="preserve"> </w:t>
      </w:r>
      <w:r>
        <w:t xml:space="preserve">“</w:t>
      </w:r>
      <w:r>
        <w:t xml:space="preserve">Glory be to God, the Lord of Dominion and Sovereignty</w:t>
      </w:r>
      <w:r>
        <w:t xml:space="preserve">”</w:t>
      </w:r>
      <w:r>
        <w:t xml:space="preserve"> </w:t>
      </w:r>
      <w:r>
        <w:t xml:space="preserve">18 times. This totals to 19 repetitions of Glory.</w:t>
      </w:r>
    </w:p>
    <w:p>
      <w:pPr>
        <w:pStyle w:val="BodyText"/>
      </w:pPr>
      <w:r>
        <w:t xml:space="preserve">It should be noted that after the Kitáb-i-Aqdas was released, the obligatory prayer had changed to include the short prayer. This can, at a minimum, take just a minute although the length can vary depending on how you recite the prayer.</w:t>
      </w:r>
    </w:p>
    <w:p>
      <w:pPr>
        <w:pStyle w:val="BodyText"/>
      </w:pPr>
      <w:r>
        <w:rPr>
          <w:iCs/>
          <w:i/>
        </w:rPr>
        <w:t xml:space="preserve">Reflection: When life becomes mobile or disrupted, what makes prayer feel like a living relationship rather than a fragile routine?</w:t>
      </w:r>
    </w:p>
    <w:p>
      <w:pPr>
        <w:pStyle w:val="BodyText"/>
      </w:pPr>
      <w:r>
        <w:t xml:space="preserve">With the practice established, we now return to the Unknown Sister and observe how prayer draws piety into new forms.</w:t>
      </w:r>
    </w:p>
    <w:bookmarkEnd w:id="318"/>
    <w:bookmarkStart w:id="325" w:name="Xe8f718e74fd1e5bab84f46aeacbbe095be43f8d"/>
    <w:p>
      <w:pPr>
        <w:pStyle w:val="Heading2"/>
      </w:pPr>
      <w:r>
        <w:t xml:space="preserve">8.13 Illuminations of The Unknown Sister - Emergent Virtues from Piety</w:t>
      </w:r>
    </w:p>
    <w:bookmarkStart w:id="319" w:name="detachment"/>
    <w:p>
      <w:pPr>
        <w:pStyle w:val="Heading3"/>
      </w:pPr>
      <w:r>
        <w:t xml:space="preserve">8.13.1 Detachment</w:t>
      </w:r>
    </w:p>
    <w:p>
      <w:pPr>
        <w:pStyle w:val="FirstParagraph"/>
      </w:pPr>
      <w:r>
        <w:t xml:space="preserve">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bookmarkEnd w:id="319"/>
    <w:bookmarkStart w:id="320" w:name="humility"/>
    <w:p>
      <w:pPr>
        <w:pStyle w:val="Heading3"/>
      </w:pPr>
      <w:r>
        <w:t xml:space="preserve">8.13.2 Humility</w:t>
      </w:r>
    </w:p>
    <w:p>
      <w:pPr>
        <w:pStyle w:val="FirstParagraph"/>
      </w:pPr>
      <w:r>
        <w:t xml:space="preserve">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bookmarkEnd w:id="320"/>
    <w:bookmarkStart w:id="321" w:name="lowliness"/>
    <w:p>
      <w:pPr>
        <w:pStyle w:val="Heading3"/>
      </w:pPr>
      <w:r>
        <w:t xml:space="preserve">8.13.3 Lowliness</w:t>
      </w:r>
    </w:p>
    <w:p>
      <w:pPr>
        <w:pStyle w:val="FirstParagraph"/>
      </w:pPr>
      <w:r>
        <w:t xml:space="preserve">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for the challenges of parenthood and life.</w:t>
      </w:r>
    </w:p>
    <w:bookmarkEnd w:id="321"/>
    <w:bookmarkStart w:id="322" w:name="reverence"/>
    <w:p>
      <w:pPr>
        <w:pStyle w:val="Heading3"/>
      </w:pPr>
      <w:r>
        <w:t xml:space="preserve">8.13.4 Reverence</w:t>
      </w:r>
    </w:p>
    <w:p>
      <w:pPr>
        <w:pStyle w:val="FirstParagraph"/>
      </w:pPr>
      <w:r>
        <w:t xml:space="preserve">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bookmarkEnd w:id="322"/>
    <w:bookmarkStart w:id="323" w:name="thankfulness"/>
    <w:p>
      <w:pPr>
        <w:pStyle w:val="Heading3"/>
      </w:pPr>
      <w:r>
        <w:t xml:space="preserve">8.13.5 Thankfulness</w:t>
      </w:r>
    </w:p>
    <w:p>
      <w:pPr>
        <w:pStyle w:val="FirstParagraph"/>
      </w:pPr>
      <w:r>
        <w:t xml:space="preserve">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bookmarkEnd w:id="323"/>
    <w:bookmarkStart w:id="324" w:name="innate-virtue-piety"/>
    <w:p>
      <w:pPr>
        <w:pStyle w:val="Heading3"/>
      </w:pPr>
      <w:r>
        <w:t xml:space="preserve">8.13.6 Innate Virtue Piety</w:t>
      </w:r>
    </w:p>
    <w:p>
      <w:pPr>
        <w:pStyle w:val="FirstParagraph"/>
      </w:pPr>
      <w:r>
        <w:t xml:space="preserve">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pPr>
        <w:pStyle w:val="BodyText"/>
      </w:pPr>
      <w:r>
        <w:rPr>
          <w:iCs/>
          <w:i/>
        </w:rPr>
        <w:t xml:space="preserve">Reflection: Which of these emergent virtues would most change the next action you take when a truth disrupts your assumptions?</w:t>
      </w:r>
    </w:p>
    <w:p>
      <w:pPr>
        <w:pStyle w:val="BodyText"/>
      </w:pPr>
      <w:r>
        <w:t xml:space="preserve">To keep this chapter grounded, we now look to Bahá’u’lláh Himself, not as an abstract model, but as an exemplar of praying as a servant.</w:t>
      </w:r>
    </w:p>
    <w:bookmarkEnd w:id="324"/>
    <w:bookmarkEnd w:id="325"/>
    <w:bookmarkStart w:id="326" w:name="the-example-of-baháulláh"/>
    <w:p>
      <w:pPr>
        <w:pStyle w:val="Heading2"/>
      </w:pPr>
      <w:r>
        <w:t xml:space="preserve">8.14 The Example of Bahá’u’lláh</w:t>
      </w:r>
    </w:p>
    <w:p>
      <w:pPr>
        <w:pStyle w:val="FirstParagraph"/>
      </w:pPr>
      <w:r>
        <w:t xml:space="preserve">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in which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pPr>
        <w:pStyle w:val="BodyText"/>
      </w:pPr>
      <w:r>
        <w:t xml:space="preserve">With that said, the answering of prayers is entirely up to God. The purpose of prayer is not for wishes to be granted, but for our will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pPr>
        <w:pStyle w:val="BodyText"/>
      </w:pPr>
      <w:r>
        <w:t xml:space="preserve">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pPr>
        <w:pStyle w:val="BodyText"/>
      </w:pPr>
      <w:r>
        <w:t xml:space="preserve">This is one of the pathways to liberate our souls, just as Bahá’u’lláh’s soul was liberated. As we proceed through these spiritual practice chapters, I invite you to look for how Bahá’u’lláh was an exemplar of His teachings. They are truly inspiring.</w:t>
      </w:r>
    </w:p>
    <w:bookmarkEnd w:id="326"/>
    <w:bookmarkStart w:id="327" w:name="summary-2"/>
    <w:p>
      <w:pPr>
        <w:pStyle w:val="Heading2"/>
      </w:pPr>
      <w:r>
        <w:t xml:space="preserve">8.15 Summary</w:t>
      </w:r>
    </w:p>
    <w:p>
      <w:pPr>
        <w:pStyle w:val="FirstParagraph"/>
      </w:pPr>
      <w:r>
        <w:t xml:space="preserve">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r>
        <w:br w:type="page"/>
      </w:r>
    </w:p>
    <w:bookmarkEnd w:id="327"/>
    <w:bookmarkEnd w:id="328"/>
    <w:bookmarkStart w:id="348" w:name="recitation"/>
    <w:p>
      <w:pPr>
        <w:pStyle w:val="Heading1"/>
      </w:pPr>
      <w:r>
        <w:t xml:space="preserve">9. Recitation</w:t>
      </w:r>
    </w:p>
    <w:bookmarkStart w:id="329" w:name="introduction-2"/>
    <w:p>
      <w:pPr>
        <w:pStyle w:val="Heading2"/>
      </w:pPr>
      <w:r>
        <w:t xml:space="preserve">9.1 Introduction</w:t>
      </w:r>
    </w:p>
    <w:p>
      <w:pPr>
        <w:pStyle w:val="FirstParagraph"/>
      </w:pPr>
      <w:r>
        <w:t xml:space="preserve">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by which the Word of God is made known. You can say recitation is a conduit of divine power. If God’s Word is reflective of the animating power of God’s Breath, recitation is also the means by which we animate our souls and the world around us with this animating and creative power of God. Recitation also helps develop emergent virtues derived from the innate virtue of loyalty. Before we discuss what to recite, we first clarify the rhythm of the obligation, because morning and evening create a daily structure that shapes loyalty over time.</w:t>
      </w:r>
    </w:p>
    <w:bookmarkEnd w:id="329"/>
    <w:bookmarkStart w:id="331" w:name="who-is-required-to-recite-and-when"/>
    <w:p>
      <w:pPr>
        <w:pStyle w:val="Heading2"/>
      </w:pPr>
      <w:r>
        <w:t xml:space="preserve">9.2 Who is Required to Recite and When?</w:t>
      </w:r>
    </w:p>
    <w:p>
      <w:pPr>
        <w:pStyle w:val="FirstParagraph"/>
      </w:pPr>
      <w:r>
        <w:t xml:space="preserve">Recitation is a practice that, unlike the obligatory prayers, is not restricted by age or health. All believers are commanded to</w:t>
      </w:r>
      <w:r>
        <w:t xml:space="preserve"> </w:t>
      </w:r>
      <w:r>
        <w:t xml:space="preserve">“</w:t>
      </w:r>
      <w:r>
        <w:t xml:space="preserve">recite the verses of God every morning and evening. He who does not recite has not fulfilled the covenant of God and His testament.</w:t>
      </w:r>
      <w:r>
        <w:t xml:space="preserve">”</w:t>
      </w:r>
      <w:r>
        <w:rPr>
          <w:rStyle w:val="FootnoteReference"/>
        </w:rPr>
        <w:footnoteReference w:id="330"/>
      </w:r>
      <w:r>
        <w:t xml:space="preserve"> </w:t>
      </w:r>
      <w:r>
        <w:t xml:space="preserve">This is a universal obligation without exceptions. Every person, however, may fulfill this obligation according to their own capacities, and it will vary in form and effort.</w:t>
      </w:r>
    </w:p>
    <w:p>
      <w:pPr>
        <w:pStyle w:val="BodyText"/>
      </w:pPr>
      <w:r>
        <w:t xml:space="preserve">There is no definitive time designated as morning and evening. It could simply mean the beginning of your day and the end of the day. Traditionally this would mean from dawn or sunrise until noon for the morning, and when light decreases until bedtime for the evening. For people who must work non-traditional schedules, this would be left up to your own circumstances and conscience. For example, if you wake up in the afternoon to work, the afternoon might be your morning and the period after midnight might be your evening. What would not change is that there are two distinct periods to recite the verses of God, establishing a daily rhythm.</w:t>
      </w:r>
    </w:p>
    <w:p>
      <w:pPr>
        <w:pStyle w:val="BodyText"/>
      </w:pPr>
      <w:r>
        <w:rPr>
          <w:iCs/>
          <w:i/>
        </w:rPr>
        <w:t xml:space="preserve">Reflection: What would shift in your inner life if you treated morning and evening recitation as two anchors that hold the day together?</w:t>
      </w:r>
    </w:p>
    <w:p>
      <w:pPr>
        <w:pStyle w:val="BodyText"/>
      </w:pPr>
      <w:r>
        <w:t xml:space="preserve">With the rhythm established, we can now ask what is worthy of being recited, because the content of recitation defines what power we are welcoming into the soul.</w:t>
      </w:r>
    </w:p>
    <w:bookmarkEnd w:id="331"/>
    <w:bookmarkStart w:id="333" w:name="what-should-be-recited"/>
    <w:p>
      <w:pPr>
        <w:pStyle w:val="Heading2"/>
      </w:pPr>
      <w:r>
        <w:t xml:space="preserve">9.3 What Should Be Recited?</w:t>
      </w:r>
    </w:p>
    <w:p>
      <w:pPr>
        <w:pStyle w:val="FirstParagraph"/>
      </w:pPr>
      <w:r>
        <w:t xml:space="preserve">Bahá’u’lláh instructs us to recite the verses revealed by God. In Chapter 5, we defined what the Word of God is, which are the verses. Today, this includes everything by Bahá’u’lláh. He says</w:t>
      </w:r>
      <w:r>
        <w:t xml:space="preserve"> </w:t>
      </w:r>
      <w:r>
        <w:t xml:space="preserve">“</w:t>
      </w:r>
      <w:r>
        <w:t xml:space="preserve">Whoever reads a verse from My verses, it is better for him than reading the books of the former and latter generations. This is the declaration of the Merciful, if you are of those who listen. Say: This is true knowledge, if you are of those who recognize.</w:t>
      </w:r>
      <w:r>
        <w:t xml:space="preserve">”</w:t>
      </w:r>
      <w:r>
        <w:rPr>
          <w:rStyle w:val="FootnoteReference"/>
        </w:rPr>
        <w:footnoteReference w:id="332"/>
      </w:r>
    </w:p>
    <w:p>
      <w:pPr>
        <w:pStyle w:val="BodyText"/>
      </w:pPr>
      <w:r>
        <w:t xml:space="preserve">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 For example, this book is not from God, so you should not use this book for recitation. Any leader after Bahá’u’lláh who is not a Manifestation of God should not be used for recitation. No scholar deserves to be recited, nor does the most beautiful poet. Recitation is reserved for God’s Word and God’s Word only.</w:t>
      </w:r>
    </w:p>
    <w:p>
      <w:pPr>
        <w:pStyle w:val="BodyText"/>
      </w:pPr>
      <w:r>
        <w:t xml:space="preserve">Bahá’u’lláh’s writings include the Kitáb-i-Aqdas and many other tablets, letters, and prayers. You can recite in the original Arabic or Persian, but you should do so in a way that you can comprehend. If this means translating them into your native language, do so. In today’s age, there are many tools capable of translating, which were used for the translations used within this book.</w:t>
      </w:r>
    </w:p>
    <w:p>
      <w:pPr>
        <w:pStyle w:val="BodyText"/>
      </w:pPr>
      <w:r>
        <w:rPr>
          <w:iCs/>
          <w:i/>
        </w:rPr>
        <w:t xml:space="preserve">Reflection: When you choose what to recite, are you selecting what is easiest, what is most beautiful, or what most directly reforms your character?</w:t>
      </w:r>
    </w:p>
    <w:p>
      <w:pPr>
        <w:pStyle w:val="BodyText"/>
      </w:pPr>
      <w:r>
        <w:t xml:space="preserve">Once the content is clear, the next question is method, because recitation can either enliven the soul or overburden it.</w:t>
      </w:r>
    </w:p>
    <w:bookmarkEnd w:id="333"/>
    <w:bookmarkStart w:id="337" w:name="how-should-one-recite"/>
    <w:p>
      <w:pPr>
        <w:pStyle w:val="Heading2"/>
      </w:pPr>
      <w:r>
        <w:t xml:space="preserve">9.4 How Should One Recite?</w:t>
      </w:r>
    </w:p>
    <w:p>
      <w:pPr>
        <w:pStyle w:val="FirstParagraph"/>
      </w:pPr>
      <w:r>
        <w:t xml:space="preserve">Bahá’u’lláh offers a few guidelines for how a believer should recite the verses of God. The first counsel from Bahá’u’lláh is not to overburden yourself in reciting the verses of God. Recitation should come with spirit and joy</w:t>
      </w:r>
      <w:r>
        <w:rPr>
          <w:rStyle w:val="FootnoteReference"/>
        </w:rPr>
        <w:footnoteReference w:id="334"/>
      </w:r>
      <w:r>
        <w:t xml:space="preserve">, and it is welcome for one who is</w:t>
      </w:r>
      <w:r>
        <w:t xml:space="preserve"> </w:t>
      </w:r>
      <w:r>
        <w:t xml:space="preserve">“</w:t>
      </w:r>
      <w:r>
        <w:t xml:space="preserve">enraptured by the love of My Name, the Merciful.</w:t>
      </w:r>
      <w:r>
        <w:t xml:space="preserve">”</w:t>
      </w:r>
      <w:r>
        <w:rPr>
          <w:rStyle w:val="FootnoteReference"/>
        </w:rPr>
        <w:footnoteReference w:id="335"/>
      </w:r>
      <w:r>
        <w:t xml:space="preserve"> </w:t>
      </w:r>
      <w:r>
        <w:t xml:space="preserve">Reciting one verse with spirit and joy is more beneficial for the soul than reciting numerous verses to the point of weariness or listlessness.</w:t>
      </w:r>
    </w:p>
    <w:p>
      <w:pPr>
        <w:pStyle w:val="BodyText"/>
      </w:pPr>
      <w:r>
        <w:t xml:space="preserve">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pPr>
        <w:pStyle w:val="BodyText"/>
      </w:pPr>
      <w:r>
        <w:t xml:space="preserve">Bahá’u’lláh also says we should not expect other souls to be overburdened in this spiritual practice. In general, we should not overburden any soul with anything which makes them heavy and lethargic. If a person is reciting with spirit, joy, and love, and if they recite in melodious tones, it is one of the most powerful effects known. He says</w:t>
      </w:r>
      <w:r>
        <w:t xml:space="preserve"> </w:t>
      </w:r>
      <w:r>
        <w:t xml:space="preserve">“</w:t>
      </w:r>
      <w:r>
        <w:t xml:space="preserve">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t xml:space="preserve">”</w:t>
      </w:r>
      <w:r>
        <w:rPr>
          <w:rStyle w:val="FootnoteReference"/>
        </w:rPr>
        <w:footnoteReference w:id="336"/>
      </w:r>
    </w:p>
    <w:p>
      <w:pPr>
        <w:pStyle w:val="BodyText"/>
      </w:pPr>
      <w:r>
        <w:rPr>
          <w:iCs/>
          <w:i/>
        </w:rPr>
        <w:t xml:space="preserve">Reflection: When you think about reciting with spirit and joy, what helps you keep devotion from turning into pressure or performance?</w:t>
      </w:r>
    </w:p>
    <w:p>
      <w:pPr>
        <w:pStyle w:val="BodyText"/>
      </w:pPr>
      <w:r>
        <w:t xml:space="preserve">With method established, we can now ask why recitation exists at all, because purpose determines whether recitation becomes merely vocal or truly transformative.</w:t>
      </w:r>
    </w:p>
    <w:bookmarkEnd w:id="337"/>
    <w:bookmarkStart w:id="338" w:name="purpose-of-recitation"/>
    <w:p>
      <w:pPr>
        <w:pStyle w:val="Heading2"/>
      </w:pPr>
      <w:r>
        <w:t xml:space="preserve">9.5 Purpose of Recitation</w:t>
      </w:r>
    </w:p>
    <w:p>
      <w:pPr>
        <w:pStyle w:val="FirstParagraph"/>
      </w:pPr>
      <w:r>
        <w:t xml:space="preserve">This brings us to the purpose of recitation. Recitation is to be heartfelt. This isn’t solely to touch our own hearts, but to potentially touch the hearts of a soul which is listless. Heartfelt recitation of God’s verses is like a beautiful flower alone in a garden, attracting not only our eyes and noses, but also the eyes and senses of butterflies, bees, and other creatures animated by God’s spirit to its fragrance. The verses of God permeate the visible and invisible, inside and outside of us.</w:t>
      </w:r>
    </w:p>
    <w:p>
      <w:pPr>
        <w:pStyle w:val="BodyText"/>
      </w:pPr>
      <w:r>
        <w:t xml:space="preserve">This also means recitation can be both a private and public practice. Bahá’u’lláh describes recitation as one of the practices of the Mashriqu’l-Adhkár. Setting the verses of God to music and singing them would seem to be an important community and cultural practice of believers, according to the style and instrumentation they feel best expresses them. One doesn’t have to be a professional singer. Whatever is the most melodious tone for you and heartfelt is what is important. The cool aspect of any spiritual practice is that it is a practice, meant to be practiced. The practice helps develop skills, such as memorizing, embodying, singing, and feeling the Word of God. No one will ever be perfect, but with any practice, time and patience are key.</w:t>
      </w:r>
    </w:p>
    <w:p>
      <w:pPr>
        <w:pStyle w:val="BodyText"/>
      </w:pPr>
      <w:r>
        <w:rPr>
          <w:iCs/>
          <w:i/>
        </w:rPr>
        <w:t xml:space="preserve">Reflection: If recitation is meant to carry fragrance into the world, what would it look like for your recitation to be both private nourishment and public service?</w:t>
      </w:r>
    </w:p>
    <w:p>
      <w:pPr>
        <w:pStyle w:val="BodyText"/>
      </w:pPr>
      <w:r>
        <w:t xml:space="preserve">With the purpose stated, we return to the Unknown Sister and watch how loyalty becomes visible when recitation guards truth against distortion.</w:t>
      </w:r>
    </w:p>
    <w:bookmarkEnd w:id="338"/>
    <w:bookmarkStart w:id="345" w:name="X24b638f13268fca0c71683131ef311deb92ded3"/>
    <w:p>
      <w:pPr>
        <w:pStyle w:val="Heading2"/>
      </w:pPr>
      <w:r>
        <w:t xml:space="preserve">9.6 Illuminations of The Unknown Sister - Emergent Virtues from Loyalty</w:t>
      </w:r>
    </w:p>
    <w:bookmarkStart w:id="339" w:name="fidelity"/>
    <w:p>
      <w:pPr>
        <w:pStyle w:val="Heading3"/>
      </w:pPr>
      <w:r>
        <w:t xml:space="preserve">9.6.1 Fidelity</w:t>
      </w:r>
    </w:p>
    <w:p>
      <w:pPr>
        <w:pStyle w:val="FirstParagraph"/>
      </w:pPr>
      <w:r>
        <w:t xml:space="preserve">Through recitation, she feels drawn back to what must remain true, even when everything else feels unstable. Fidelity steadies her against distortion, against reshaping the facts to ease discomfort or soften their weight. The Words she recites remind her that truth has its own sound, and her task is not to improve it or muffle it, but to remain faithful to it without embellishment or avoidance.</w:t>
      </w:r>
    </w:p>
    <w:bookmarkEnd w:id="339"/>
    <w:bookmarkStart w:id="340" w:name="morality"/>
    <w:p>
      <w:pPr>
        <w:pStyle w:val="Heading3"/>
      </w:pPr>
      <w:r>
        <w:t xml:space="preserve">9.6.2 Morality</w:t>
      </w:r>
    </w:p>
    <w:p>
      <w:pPr>
        <w:pStyle w:val="FirstParagraph"/>
      </w:pPr>
      <w:r>
        <w:t xml:space="preserve">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her discernment of herself.</w:t>
      </w:r>
    </w:p>
    <w:bookmarkEnd w:id="340"/>
    <w:bookmarkStart w:id="341" w:name="righteousness"/>
    <w:p>
      <w:pPr>
        <w:pStyle w:val="Heading3"/>
      </w:pPr>
      <w:r>
        <w:t xml:space="preserve">9.6.3 Righteousness</w:t>
      </w:r>
    </w:p>
    <w:p>
      <w:pPr>
        <w:pStyle w:val="FirstParagraph"/>
      </w:pPr>
      <w:r>
        <w:t xml:space="preserve">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of the struggle behind it.</w:t>
      </w:r>
    </w:p>
    <w:bookmarkEnd w:id="341"/>
    <w:bookmarkStart w:id="342" w:name="servitude"/>
    <w:p>
      <w:pPr>
        <w:pStyle w:val="Heading3"/>
      </w:pPr>
      <w:r>
        <w:t xml:space="preserve">9.6.4 Servitude</w:t>
      </w:r>
    </w:p>
    <w:p>
      <w:pPr>
        <w:pStyle w:val="FirstParagraph"/>
      </w:pPr>
      <w:r>
        <w:t xml:space="preserve">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bookmarkEnd w:id="342"/>
    <w:bookmarkStart w:id="343" w:name="steadfastness"/>
    <w:p>
      <w:pPr>
        <w:pStyle w:val="Heading3"/>
      </w:pPr>
      <w:r>
        <w:t xml:space="preserve">9.6.5 Steadfastness</w:t>
      </w:r>
    </w:p>
    <w:p>
      <w:pPr>
        <w:pStyle w:val="FirstParagraph"/>
      </w:pPr>
      <w:r>
        <w:t xml:space="preserve">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bookmarkEnd w:id="343"/>
    <w:bookmarkStart w:id="344" w:name="loyalty-innate-virtue"/>
    <w:p>
      <w:pPr>
        <w:pStyle w:val="Heading3"/>
      </w:pPr>
      <w:r>
        <w:t xml:space="preserve">9.6.6 Loyalty (Innate Virtue)</w:t>
      </w:r>
    </w:p>
    <w:p>
      <w:pPr>
        <w:pStyle w:val="FirstParagraph"/>
      </w:pPr>
      <w:r>
        <w:t xml:space="preserve">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pPr>
        <w:pStyle w:val="BodyText"/>
      </w:pPr>
      <w:r>
        <w:rPr>
          <w:iCs/>
          <w:i/>
        </w:rPr>
        <w:t xml:space="preserve">Reflection: Which emergent virtue in this illumination most directly challenges your instinct to edit reality for comfort or safety?</w:t>
      </w:r>
    </w:p>
    <w:p>
      <w:pPr>
        <w:pStyle w:val="BodyText"/>
      </w:pPr>
      <w:r>
        <w:t xml:space="preserve">To close the chapter, we now return to your reminder that virtue is a spectrum, and we connect that spectrum to the next practice of remembrance.</w:t>
      </w:r>
    </w:p>
    <w:bookmarkEnd w:id="344"/>
    <w:bookmarkEnd w:id="345"/>
    <w:bookmarkStart w:id="346" w:name="a-gentle-reminder"/>
    <w:p>
      <w:pPr>
        <w:pStyle w:val="Heading2"/>
      </w:pPr>
      <w:r>
        <w:t xml:space="preserve">9.7 A Gentle Reminder</w:t>
      </w:r>
    </w:p>
    <w:p>
      <w:pPr>
        <w:pStyle w:val="FirstParagraph"/>
      </w:pPr>
      <w:r>
        <w:t xml:space="preserve">To close this chapter, I want to offer a reminder that these virtues are not absolute. One is not 100% righteous nor 0% righteous, for example. As we express our loyalty to God, we must do so in ways which do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 different.</w:t>
      </w:r>
    </w:p>
    <w:p>
      <w:pPr>
        <w:pStyle w:val="BodyText"/>
      </w:pPr>
      <w:r>
        <w:t xml:space="preserve">I offer this prayer Bahá’u’lláh revealed at the end of the Lawḥ-i-Aḥbáb (Tablet to the Friends):</w:t>
      </w:r>
    </w:p>
    <w:p>
      <w:pPr>
        <w:pStyle w:val="BlockText"/>
      </w:pPr>
      <w:r>
        <w:t xml:space="preserve">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bookmarkEnd w:id="346"/>
    <w:bookmarkStart w:id="347" w:name="summary-3"/>
    <w:p>
      <w:pPr>
        <w:pStyle w:val="Heading2"/>
      </w:pPr>
      <w:r>
        <w:t xml:space="preserve">9.8 Summary</w:t>
      </w:r>
    </w:p>
    <w:p>
      <w:pPr>
        <w:pStyle w:val="FirstParagraph"/>
      </w:pPr>
      <w:r>
        <w:t xml:space="preserve">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r>
        <w:br w:type="page"/>
      </w:r>
    </w:p>
    <w:bookmarkEnd w:id="347"/>
    <w:bookmarkEnd w:id="348"/>
    <w:bookmarkStart w:id="384" w:name="remembrance"/>
    <w:p>
      <w:pPr>
        <w:pStyle w:val="Heading1"/>
      </w:pPr>
      <w:r>
        <w:t xml:space="preserve">10. Remembrance</w:t>
      </w:r>
    </w:p>
    <w:bookmarkStart w:id="349" w:name="introduction-3"/>
    <w:p>
      <w:pPr>
        <w:pStyle w:val="Heading2"/>
      </w:pPr>
      <w:r>
        <w:t xml:space="preserve">10.1 Introduction</w:t>
      </w:r>
    </w:p>
    <w:p>
      <w:pPr>
        <w:pStyle w:val="FirstParagraph"/>
      </w:pPr>
      <w:r>
        <w:t xml:space="preserve">The next spiritual practice is Dhikr, or the remembrance of God. Before exploring the formal aspects of dhikr, I want to linger on the nature of remembrance itself. What does it feel like to remember anything at all?</w:t>
      </w:r>
    </w:p>
    <w:p>
      <w:pPr>
        <w:pStyle w:val="BodyText"/>
      </w:pPr>
      <w:r>
        <w:t xml:space="preserve">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pPr>
        <w:pStyle w:val="BodyText"/>
      </w:pPr>
      <w:r>
        <w:t xml:space="preserve">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the senses, the soul is stirred. Something subtle passes through, like a breeze carrying fragrance from a distant garden.</w:t>
      </w:r>
    </w:p>
    <w:p>
      <w:pPr>
        <w:pStyle w:val="BodyText"/>
      </w:pPr>
      <w:r>
        <w:t xml:space="preserve">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pPr>
        <w:pStyle w:val="BodyText"/>
      </w:pPr>
      <w:r>
        <w:t xml:space="preserve">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pPr>
        <w:pStyle w:val="BodyText"/>
      </w:pPr>
      <w:r>
        <w:t xml:space="preserve">This chapter will explore both formal and informal ways to remember God, the purpose remembrance fulfills in the soul’s journey, and the virtues that blossom in its light.</w:t>
      </w:r>
    </w:p>
    <w:p>
      <w:pPr>
        <w:pStyle w:val="BodyText"/>
      </w:pPr>
      <w:r>
        <w:rPr>
          <w:iCs/>
          <w:i/>
        </w:rPr>
        <w:t xml:space="preserve">Reflection: Where does remembrance already visit you without effort, and what might change if you learned to treat those moments as invitations rather than interruptions?</w:t>
      </w:r>
    </w:p>
    <w:p>
      <w:pPr>
        <w:pStyle w:val="BodyText"/>
      </w:pPr>
      <w:r>
        <w:t xml:space="preserve">With the inner texture of remembrance established, we can now ask what the Kitáb-i-Aqdas tells us to remember about God.</w:t>
      </w:r>
    </w:p>
    <w:bookmarkEnd w:id="349"/>
    <w:bookmarkStart w:id="359" w:name="what-are-we-remembering-about-god"/>
    <w:p>
      <w:pPr>
        <w:pStyle w:val="Heading2"/>
      </w:pPr>
      <w:r>
        <w:t xml:space="preserve">10.2 What Are We Remembering About God?</w:t>
      </w:r>
    </w:p>
    <w:p>
      <w:pPr>
        <w:pStyle w:val="FirstParagraph"/>
      </w:pPr>
      <w:r>
        <w:t xml:space="preserve">The Kitáb-i-Aqdas does describe some memories we should use when remembering God. We are to remember God among His creation.</w:t>
      </w:r>
      <w:r>
        <w:rPr>
          <w:rStyle w:val="FootnoteReference"/>
        </w:rPr>
        <w:footnoteReference w:id="350"/>
      </w:r>
      <w:r>
        <w:t xml:space="preserve"> </w:t>
      </w:r>
      <w:r>
        <w:t xml:space="preserve">Creation, as we learned in Chapter 2 and Chapter 3, is everything within us and outside of us. Creation is seen and unseen. We are to remember God’s bounty</w:t>
      </w:r>
      <w:r>
        <w:rPr>
          <w:rStyle w:val="FootnoteReference"/>
        </w:rPr>
        <w:footnoteReference w:id="351"/>
      </w:r>
      <w:r>
        <w:t xml:space="preserve"> </w:t>
      </w:r>
      <w:r>
        <w:t xml:space="preserve">provided to us through this creation. Within this creation, we can remember God’s mercy</w:t>
      </w:r>
      <w:r>
        <w:rPr>
          <w:rStyle w:val="FootnoteReference"/>
        </w:rPr>
        <w:footnoteReference w:id="352"/>
      </w:r>
      <w:r>
        <w:t xml:space="preserve"> </w:t>
      </w:r>
      <w:r>
        <w:t xml:space="preserve">and His greatness and power.</w:t>
      </w:r>
      <w:r>
        <w:rPr>
          <w:rStyle w:val="FootnoteReference"/>
        </w:rPr>
        <w:footnoteReference w:id="353"/>
      </w:r>
      <w:r>
        <w:t xml:space="preserve"> </w:t>
      </w:r>
      <w:r>
        <w:t xml:space="preserve">If creation seems scary or intimidating, we can always remember to seek refuge in God</w:t>
      </w:r>
      <w:r>
        <w:rPr>
          <w:rStyle w:val="FootnoteReference"/>
        </w:rPr>
        <w:footnoteReference w:id="354"/>
      </w:r>
      <w:r>
        <w:t xml:space="preserve"> </w:t>
      </w:r>
      <w:r>
        <w:t xml:space="preserve">such as with the prayer of the signs.</w:t>
      </w:r>
    </w:p>
    <w:p>
      <w:pPr>
        <w:pStyle w:val="BodyText"/>
      </w:pPr>
      <w:r>
        <w:t xml:space="preserve">We are to remember His mighty and wondrous Name.</w:t>
      </w:r>
      <w:r>
        <w:rPr>
          <w:rStyle w:val="FootnoteReference"/>
        </w:rPr>
        <w:footnoteReference w:id="355"/>
      </w:r>
      <w:r>
        <w:t xml:space="preserve"> </w:t>
      </w:r>
      <w:r>
        <w:t xml:space="preserve">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of moderation. When we remember Bahá’u’lláh, we remember He is not God, but the Manifestation of God and the dawning place of His most excellent names and the supreme Word (Revelation).</w:t>
      </w:r>
      <w:r>
        <w:rPr>
          <w:rStyle w:val="FootnoteReference"/>
        </w:rPr>
        <w:footnoteReference w:id="356"/>
      </w:r>
    </w:p>
    <w:p>
      <w:pPr>
        <w:pStyle w:val="BodyText"/>
      </w:pPr>
      <w:r>
        <w:t xml:space="preserve">Given we are to remember God, we are also to remember the Book (Kitáb-i-Aqdas)</w:t>
      </w:r>
      <w:r>
        <w:rPr>
          <w:rStyle w:val="FootnoteReference"/>
        </w:rPr>
        <w:footnoteReference w:id="357"/>
      </w:r>
      <w:r>
        <w:t xml:space="preserve"> </w:t>
      </w:r>
      <w:r>
        <w:t xml:space="preserve">and what was revealed from Him,</w:t>
      </w:r>
      <w:r>
        <w:rPr>
          <w:rStyle w:val="FootnoteReference"/>
        </w:rPr>
        <w:footnoteReference w:id="358"/>
      </w:r>
      <w:r>
        <w:t xml:space="preserve"> </w:t>
      </w:r>
      <w:r>
        <w:t xml:space="preserve">which is the entirety of Bahá’u’lláh’s Revelation.</w:t>
      </w:r>
    </w:p>
    <w:p>
      <w:pPr>
        <w:pStyle w:val="BodyText"/>
      </w:pPr>
      <w:r>
        <w:rPr>
          <w:iCs/>
          <w:i/>
        </w:rPr>
        <w:t xml:space="preserve">Reflection: Which aspect of God do you most naturally remember? Which do you most often neglect over time?</w:t>
      </w:r>
    </w:p>
    <w:p>
      <w:pPr>
        <w:pStyle w:val="BodyText"/>
      </w:pPr>
      <w:r>
        <w:t xml:space="preserve">With the content of remembrance clarified, we can now distinguish the two modes by which remembrance comes to us: what arrives unbidden, and what we choose deliberately.</w:t>
      </w:r>
    </w:p>
    <w:bookmarkEnd w:id="359"/>
    <w:bookmarkStart w:id="363" w:name="subconscious-remembrance"/>
    <w:p>
      <w:pPr>
        <w:pStyle w:val="Heading2"/>
      </w:pPr>
      <w:r>
        <w:t xml:space="preserve">10.3 Subconscious Remembrance</w:t>
      </w:r>
    </w:p>
    <w:p>
      <w:pPr>
        <w:pStyle w:val="FirstParagraph"/>
      </w:pPr>
      <w:r>
        <w:t xml:space="preserve">Subconscious remembrance is not something we do. It is something we allow. It is the state of being open to what God is constantly offering.</w:t>
      </w:r>
    </w:p>
    <w:p>
      <w:pPr>
        <w:pStyle w:val="BlockText"/>
      </w:pPr>
      <w:r>
        <w:rPr>
          <w:bCs/>
          <w:b/>
        </w:rPr>
        <w:t xml:space="preserve">O Essence of Heedlessness</w:t>
      </w:r>
      <w:r>
        <w:t xml:space="preserve"> </w:t>
      </w:r>
      <w:r>
        <w:t xml:space="preserve">Alas, that a hundred thousand spiritual tongues are embodied in one speaking tongue, and a hundred thousand hidden meanings appear in one melody, yet there is no ear to hear, nor heart to grasp a single word.</w:t>
      </w:r>
      <w:r>
        <w:rPr>
          <w:rStyle w:val="FootnoteReference"/>
        </w:rPr>
        <w:footnoteReference w:id="360"/>
      </w:r>
    </w:p>
    <w:p>
      <w:pPr>
        <w:pStyle w:val="FirstParagraph"/>
      </w:pPr>
      <w:r>
        <w:t xml:space="preserve">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pPr>
        <w:pStyle w:val="BodyText"/>
      </w:pPr>
      <w:r>
        <w:t xml:space="preserve">The Kitáb-i-Aqdas #185 offers a simple blueprint for subconscious remembrance. Bahá’u’lláh says:</w:t>
      </w:r>
      <w:r>
        <w:t xml:space="preserve"> </w:t>
      </w:r>
      <w:r>
        <w:t xml:space="preserve">&gt;</w:t>
      </w:r>
      <w:r>
        <w:t xml:space="preserve">“</w:t>
      </w:r>
      <w:r>
        <w:t xml:space="preserve">This is the counsel of God, if you are among those who hear. This is the grace of God, if you are among those who turn toward Him. This is the remembrance of God, if you are among those who feel. This is the treasure of God, if you are among those who know.</w:t>
      </w:r>
      <w:r>
        <w:t xml:space="preserve">”</w:t>
      </w:r>
    </w:p>
    <w:bookmarkStart w:id="362" w:name="receiving-through-our-senses"/>
    <w:p>
      <w:pPr>
        <w:pStyle w:val="Heading3"/>
      </w:pPr>
      <w:r>
        <w:t xml:space="preserve">10.3.1 Receiving Through Our Senses</w:t>
      </w:r>
    </w:p>
    <w:p>
      <w:pPr>
        <w:pStyle w:val="FirstParagraph"/>
      </w:pPr>
      <w:r>
        <w:t xml:space="preserve">Subconscious remembrance is not actively remembering, but allowing memories and reminders to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pPr>
        <w:pStyle w:val="BodyText"/>
      </w:pPr>
      <w:r>
        <w:t xml:space="preserve">To know is to open the mind. Hearing is one path to knowing, but so are reading, witnessing, and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pPr>
        <w:pStyle w:val="BodyText"/>
      </w:pPr>
      <w:r>
        <w:t xml:space="preserve">To feel is to awaken the heart. Bahá’u’lláh says hearts are capable of enlightenment.</w:t>
      </w:r>
      <w:r>
        <w:rPr>
          <w:rStyle w:val="FootnoteReference"/>
        </w:rPr>
        <w:footnoteReference w:id="361"/>
      </w:r>
      <w:r>
        <w:t xml:space="preserve"> </w:t>
      </w:r>
      <w:r>
        <w:t xml:space="preserve">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pPr>
        <w:pStyle w:val="BodyText"/>
      </w:pPr>
      <w:r>
        <w:t xml:space="preserve">When our senses, mind, and heart are open in this way, the soul can begin to turn. Subconscious remembrance is that turning, not as a command, but as a quiet alignment. We may not always be fully oriented toward God in our daily lives, but remembrance begins in our willingness to receive. We don’t say,</w:t>
      </w:r>
      <w:r>
        <w:t xml:space="preserve"> </w:t>
      </w:r>
      <w:r>
        <w:t xml:space="preserve">“</w:t>
      </w:r>
      <w:r>
        <w:t xml:space="preserve">I am a mirror.</w:t>
      </w:r>
      <w:r>
        <w:t xml:space="preserve">”</w:t>
      </w:r>
      <w:r>
        <w:t xml:space="preserve"> </w:t>
      </w:r>
      <w:r>
        <w:t xml:space="preserve">We simply become one.</w:t>
      </w:r>
    </w:p>
    <w:p>
      <w:pPr>
        <w:pStyle w:val="BodyText"/>
      </w:pPr>
      <w:r>
        <w:rPr>
          <w:iCs/>
          <w:i/>
        </w:rPr>
        <w:t xml:space="preserve">Reflection: What is one sense—sight, sound, smell, touch, or taste—that most often opens your heart, and how could you let it become a doorway to remembrance rather than distraction?</w:t>
      </w:r>
    </w:p>
    <w:p>
      <w:pPr>
        <w:pStyle w:val="BodyText"/>
      </w:pPr>
      <w:r>
        <w:t xml:space="preserve">With subconscious remembrance described, we can now turn to conscious remembrance, where the soul chooses to remember God with intention, joy, and fragrance.</w:t>
      </w:r>
    </w:p>
    <w:bookmarkEnd w:id="362"/>
    <w:bookmarkEnd w:id="363"/>
    <w:bookmarkStart w:id="373" w:name="conscious-remembrance"/>
    <w:p>
      <w:pPr>
        <w:pStyle w:val="Heading2"/>
      </w:pPr>
      <w:r>
        <w:t xml:space="preserve">10.4 Conscious Remembrance</w:t>
      </w:r>
    </w:p>
    <w:p>
      <w:pPr>
        <w:pStyle w:val="FirstParagraph"/>
      </w:pPr>
      <w:r>
        <w:t xml:space="preserve">Conscious remembrance is the intentional act of turning the heart and soul toward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our Lord with joy and gladness.</w:t>
      </w:r>
      <w:r>
        <w:rPr>
          <w:rStyle w:val="FootnoteReference"/>
        </w:rPr>
        <w:footnoteReference w:id="364"/>
      </w:r>
      <w:r>
        <w:t xml:space="preserve"> </w:t>
      </w:r>
      <w:r>
        <w:t xml:space="preserve">We should thank Him with joy and spiritual fragrance.</w:t>
      </w:r>
      <w:r>
        <w:rPr>
          <w:rStyle w:val="FootnoteReference"/>
        </w:rPr>
        <w:footnoteReference w:id="365"/>
      </w:r>
    </w:p>
    <w:p>
      <w:pPr>
        <w:pStyle w:val="BodyText"/>
      </w:pPr>
      <w:r>
        <w:t xml:space="preserve">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 Him. To do so, you have to actually feel the spirit and fragrance. It has to come from deep within you. Remembrance is felt, not merely spoken.</w:t>
      </w:r>
    </w:p>
    <w:bookmarkStart w:id="369" w:name="ways-to-remember"/>
    <w:p>
      <w:pPr>
        <w:pStyle w:val="Heading3"/>
      </w:pPr>
      <w:r>
        <w:t xml:space="preserve">10.4.1 Ways to Remember</w:t>
      </w:r>
    </w:p>
    <w:p>
      <w:pPr>
        <w:pStyle w:val="FirstParagraph"/>
      </w:pPr>
      <w:r>
        <w:t xml:space="preserve">We are also to rejoice in the joy of the Greatest Name (Bahá’u’lláh), by which hearts are enraptured and the minds of the near ones are attracted.</w:t>
      </w:r>
      <w:r>
        <w:rPr>
          <w:rStyle w:val="FootnoteReference"/>
        </w:rPr>
        <w:footnoteReference w:id="366"/>
      </w:r>
      <w:r>
        <w:t xml:space="preserve"> </w:t>
      </w:r>
      <w:r>
        <w:t xml:space="preserve">This is not an act of worship of Bahá’u’lláh Himself, but a celebration that this name exists, that it has manifested in the form of the temple of Bahá’u’lláh, and that it is a sign of God’s mercy. Bahá’u’lláh is the point of adoration (Qiblih).</w:t>
      </w:r>
    </w:p>
    <w:p>
      <w:pPr>
        <w:pStyle w:val="BodyText"/>
      </w:pPr>
      <w:r>
        <w:t xml:space="preserve">One way we can conduct remembrance is through music. Music is a ladder for the ascent of souls to the highest horizon.</w:t>
      </w:r>
      <w:r>
        <w:rPr>
          <w:rStyle w:val="FootnoteReference"/>
        </w:rPr>
        <w:footnoteReference w:id="367"/>
      </w:r>
      <w:r>
        <w:t xml:space="preserve"> </w:t>
      </w:r>
      <w:r>
        <w:t xml:space="preserve">Bahá’u’lláh warns us by saying</w:t>
      </w:r>
      <w:r>
        <w:t xml:space="preserve"> </w:t>
      </w:r>
      <w:r>
        <w:t xml:space="preserve">“</w:t>
      </w:r>
      <w:r>
        <w:t xml:space="preserve">do not make it the wings of self and desire</w:t>
      </w:r>
      <w:r>
        <w:t xml:space="preserve">”</w:t>
      </w:r>
      <w:r>
        <w:t xml:space="preserve"> </w:t>
      </w:r>
      <w:r>
        <w:t xml:space="preserve">and to</w:t>
      </w:r>
      <w:r>
        <w:t xml:space="preserve"> </w:t>
      </w:r>
      <w:r>
        <w:t xml:space="preserve">“</w:t>
      </w:r>
      <w:r>
        <w:t xml:space="preserve">beware your listening does not lead you away from the path of dignity and reverence.</w:t>
      </w:r>
      <w:r>
        <w:t xml:space="preserve">”</w:t>
      </w:r>
      <w:r>
        <w:t xml:space="preserve"> </w:t>
      </w:r>
      <w:r>
        <w:t xml:space="preserve">Ladders can be used to ascend or descend. For a soul to be liberated, it must ascend.</w:t>
      </w:r>
    </w:p>
    <w:p>
      <w:pPr>
        <w:pStyle w:val="BodyText"/>
      </w:pPr>
      <w:r>
        <w:t xml:space="preserve">Bahá’u’lláh also says</w:t>
      </w:r>
      <w:r>
        <w:t xml:space="preserve"> </w:t>
      </w:r>
      <w:r>
        <w:t xml:space="preserve">“</w:t>
      </w:r>
      <w:r>
        <w:t xml:space="preserve">do not conduct remembrance in the streets or marketplaces. Do so in a place designated for remembrance or in your home. This is closer to sincerity and piety.</w:t>
      </w:r>
      <w:r>
        <w:t xml:space="preserve">”</w:t>
      </w:r>
      <w:r>
        <w:rPr>
          <w:rStyle w:val="FootnoteReference"/>
        </w:rPr>
        <w:footnoteReference w:id="368"/>
      </w:r>
      <w:r>
        <w:t xml:space="preserve"> </w:t>
      </w:r>
      <w:r>
        <w:t xml:space="preserve">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bookmarkEnd w:id="369"/>
    <w:bookmarkStart w:id="370" w:name="a-warning"/>
    <w:p>
      <w:pPr>
        <w:pStyle w:val="Heading3"/>
      </w:pPr>
      <w:r>
        <w:t xml:space="preserve">10.4.2 A Warning</w:t>
      </w:r>
    </w:p>
    <w:p>
      <w:pPr>
        <w:pStyle w:val="FirstParagraph"/>
      </w:pPr>
      <w:r>
        <w:t xml:space="preserve">True remembrance is designed so we can feel the spirit and share the spirit. The Bayán says remembrance has no value if it keeps us from recognizing God and His Manifestations. Denying a Manifestation is the same as denying God. Bahá’u’lláh echoes this warning, telling us</w:t>
      </w:r>
      <w:r>
        <w:t xml:space="preserve"> </w:t>
      </w:r>
      <w:r>
        <w:t xml:space="preserve">“</w:t>
      </w:r>
      <w:r>
        <w:t xml:space="preserve">beware…that remembrance veils you from this Most Mighty Remembrance.</w:t>
      </w:r>
      <w:r>
        <w:t xml:space="preserve">”</w:t>
      </w:r>
      <w:r>
        <w:t xml:space="preserve"> </w:t>
      </w:r>
      <w:r>
        <w:t xml:space="preserve">This warning is incredibly important. What if our remembrance is contrary to what God desires? What if we end up not recognizing the future Manifestation of God, cause future generations to fail to recognize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bookmarkEnd w:id="370"/>
    <w:bookmarkStart w:id="372" w:name="the-recitation-of-alláh-u-abhá"/>
    <w:p>
      <w:pPr>
        <w:pStyle w:val="Heading3"/>
      </w:pPr>
      <w:r>
        <w:t xml:space="preserve">10.4.3 The Recitation of Alláh-u-Abhá</w:t>
      </w:r>
    </w:p>
    <w:p>
      <w:pPr>
        <w:pStyle w:val="FirstParagraph"/>
      </w:pPr>
      <w:r>
        <w:t xml:space="preserve">Each day, the recitation of Alláh-u-Abhá (God is Most Glorious) is to be done 95 times while facing the Qiblih. Ablutions need to be done prior.</w:t>
      </w:r>
      <w:r>
        <w:rPr>
          <w:rStyle w:val="FootnoteReference"/>
        </w:rPr>
        <w:footnoteReference w:id="371"/>
      </w:r>
      <w:r>
        <w:t xml:space="preserve"> </w:t>
      </w:r>
      <w:r>
        <w:t xml:space="preserve">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another tool to keep count, but do be mindful of the fact that you are not remembering the count. You are remembering God.</w:t>
      </w:r>
    </w:p>
    <w:p>
      <w:pPr>
        <w:pStyle w:val="BodyText"/>
      </w:pPr>
      <w:r>
        <w:t xml:space="preserve">This practice is derived from the Persian Bayán in Váḥid 5, Gate 17.</w:t>
      </w:r>
      <w:r>
        <w:t xml:space="preserve"> </w:t>
      </w:r>
      <w:r>
        <w:t xml:space="preserve">“</w:t>
      </w:r>
      <w:r>
        <w:t xml:space="preserve">In this gate, it is decreed that from sunrise to sunset, every soul is permitted to recite ninety-five times phrases such as</w:t>
      </w:r>
      <w:r>
        <w:t xml:space="preserve"> </w:t>
      </w:r>
      <w:r>
        <w:rPr>
          <w:iCs/>
          <w:i/>
        </w:rPr>
        <w:t xml:space="preserve">“God is Most Glorious” (Alláh-u-Abhá),</w:t>
      </w:r>
      <w:r>
        <w:t xml:space="preserve"> </w:t>
      </w:r>
      <w:r>
        <w:rPr>
          <w:iCs/>
          <w:i/>
        </w:rPr>
        <w:t xml:space="preserve">“God is Most Great” (Alláh-u-A‘ẓam),</w:t>
      </w:r>
      <w:r>
        <w:t xml:space="preserve"> </w:t>
      </w:r>
      <w:r>
        <w:rPr>
          <w:iCs/>
          <w:i/>
        </w:rPr>
        <w:t xml:space="preserve">“God is Most Manifest” (Alláh-u-Aẓhar),</w:t>
      </w:r>
      <w:r>
        <w:t xml:space="preserve"> </w:t>
      </w:r>
      <w:r>
        <w:rPr>
          <w:iCs/>
          <w:i/>
        </w:rPr>
        <w:t xml:space="preserve">“God is Most Radiant” (Alláh-u-Anwar),</w:t>
      </w:r>
      <w:r>
        <w:t xml:space="preserve"> </w:t>
      </w:r>
      <w:r>
        <w:rPr>
          <w:iCs/>
          <w:i/>
        </w:rPr>
        <w:t xml:space="preserve">“God is Most Exalted” (Alláh-u-Akbar),</w:t>
      </w:r>
      <w:r>
        <w:t xml:space="preserve"> </w:t>
      </w:r>
      <w:r>
        <w:t xml:space="preserve">or similar exalted expressions.</w:t>
      </w:r>
      <w:r>
        <w:t xml:space="preserve">”</w:t>
      </w:r>
      <w:r>
        <w:t xml:space="preserve"> </w:t>
      </w:r>
      <w:r>
        <w:t xml:space="preserve">There would be nothing wrong with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pPr>
        <w:pStyle w:val="BodyText"/>
      </w:pPr>
      <w:r>
        <w:rPr>
          <w:iCs/>
          <w:i/>
        </w:rPr>
        <w:t xml:space="preserve">Reflection: When remembrance is meant to be joyful and fragrant, what helps you keep it sincere when you are tired, distracted, or surrounded by others?</w:t>
      </w:r>
    </w:p>
    <w:p>
      <w:pPr>
        <w:pStyle w:val="BodyText"/>
      </w:pPr>
      <w:r>
        <w:t xml:space="preserve">With remembrance described in both its quiet and deliberate forms, we now return to the Unknown Sister to see what courtesy looks like when it is fueled by remembrance.</w:t>
      </w:r>
    </w:p>
    <w:bookmarkEnd w:id="372"/>
    <w:bookmarkEnd w:id="373"/>
    <w:bookmarkStart w:id="381" w:name="X3bd3c3fe46330e11caa13a631828f472bd7bb10"/>
    <w:p>
      <w:pPr>
        <w:pStyle w:val="Heading2"/>
      </w:pPr>
      <w:r>
        <w:t xml:space="preserve">10.5 Illuminations of The Unknown Sister - Emergent Virtues from Courtesy</w:t>
      </w:r>
    </w:p>
    <w:bookmarkStart w:id="374" w:name="dignity"/>
    <w:p>
      <w:pPr>
        <w:pStyle w:val="Heading3"/>
      </w:pPr>
      <w:r>
        <w:t xml:space="preserve">10.5.1 Dignity</w:t>
      </w:r>
    </w:p>
    <w:p>
      <w:pPr>
        <w:pStyle w:val="FirstParagraph"/>
      </w:pPr>
      <w:r>
        <w:t xml:space="preserve">Through remembrance, she feels no need to justify herself inwardly or outwardly. The discovery does not diminish her worth, nor does her role enlarge it. Dignity settles into her posture. She is upright but uninflated. She does not rush to explain, apologize, or defend. Remembering God frees her from measuring herself against imagined judgments, allowing her to stand quietly within the weight of what she carries.</w:t>
      </w:r>
    </w:p>
    <w:bookmarkEnd w:id="374"/>
    <w:bookmarkStart w:id="375" w:name="fairness"/>
    <w:p>
      <w:pPr>
        <w:pStyle w:val="Heading3"/>
      </w:pPr>
      <w:r>
        <w:t xml:space="preserve">10.5.2 Fairness</w:t>
      </w:r>
    </w:p>
    <w:p>
      <w:pPr>
        <w:pStyle w:val="FirstParagraph"/>
      </w:pPr>
      <w:r>
        <w:t xml:space="preserve">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bookmarkEnd w:id="375"/>
    <w:bookmarkStart w:id="376" w:name="kindness"/>
    <w:p>
      <w:pPr>
        <w:pStyle w:val="Heading3"/>
      </w:pPr>
      <w:r>
        <w:t xml:space="preserve">10.5.3 Kindness</w:t>
      </w:r>
    </w:p>
    <w:p>
      <w:pPr>
        <w:pStyle w:val="FirstParagraph"/>
      </w:pPr>
      <w:r>
        <w:t xml:space="preserve">In remembrance, the unknown girl becomes more than an abstract complication. She is a soul, loved by God, living an ordinary life with its own tenderness and vulnerability. Kindness emerges not as sentiment, but as restraint, an unwillingness to think carelessly or harshly about anyone involved. Remembering God softens her inner language before any outer words are spoken.</w:t>
      </w:r>
    </w:p>
    <w:bookmarkEnd w:id="376"/>
    <w:bookmarkStart w:id="377" w:name="purity"/>
    <w:p>
      <w:pPr>
        <w:pStyle w:val="Heading3"/>
      </w:pPr>
      <w:r>
        <w:t xml:space="preserve">10.5.4 Purity</w:t>
      </w:r>
    </w:p>
    <w:p>
      <w:pPr>
        <w:pStyle w:val="FirstParagraph"/>
      </w:pPr>
      <w:r>
        <w:t xml:space="preserve">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bookmarkEnd w:id="377"/>
    <w:bookmarkStart w:id="378" w:name="radiance"/>
    <w:p>
      <w:pPr>
        <w:pStyle w:val="Heading3"/>
      </w:pPr>
      <w:r>
        <w:t xml:space="preserve">10.5.5 Radiance</w:t>
      </w:r>
    </w:p>
    <w:p>
      <w:pPr>
        <w:pStyle w:val="FirstParagraph"/>
      </w:pPr>
      <w:r>
        <w:t xml:space="preserve">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bookmarkEnd w:id="378"/>
    <w:bookmarkStart w:id="379" w:name="refinement"/>
    <w:p>
      <w:pPr>
        <w:pStyle w:val="Heading3"/>
      </w:pPr>
      <w:r>
        <w:t xml:space="preserve">10.5.6 Refinement</w:t>
      </w:r>
    </w:p>
    <w:p>
      <w:pPr>
        <w:pStyle w:val="FirstParagraph"/>
      </w:pPr>
      <w:r>
        <w:t xml:space="preserve">Remembrance trains her in care. She becomes attentive to small things which matter. Her tone, her silences, the way she folds the pages, and the way she answers her child are all meaningful. Refinement does not mean elegance; it means avoiding harm through roughness or haste. Even not speaking becomes an act shaped by consideration rather than avoidance.</w:t>
      </w:r>
    </w:p>
    <w:bookmarkEnd w:id="379"/>
    <w:bookmarkStart w:id="380" w:name="courtesy-innate-virtue"/>
    <w:p>
      <w:pPr>
        <w:pStyle w:val="Heading3"/>
      </w:pPr>
      <w:r>
        <w:t xml:space="preserve">10.5.7 Courtesy (Innate Virtue)</w:t>
      </w:r>
    </w:p>
    <w:p>
      <w:pPr>
        <w:pStyle w:val="FirstParagraph"/>
      </w:pPr>
      <w:r>
        <w:t xml:space="preserve">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pPr>
        <w:pStyle w:val="BodyText"/>
      </w:pPr>
      <w:r>
        <w:rPr>
          <w:iCs/>
          <w:i/>
        </w:rPr>
        <w:t xml:space="preserve">Reflection: Which of these emergent virtues—dignity, fairness, kindness, purity, radiance, or refinement—most often fails first when you feel pressure, and why?</w:t>
      </w:r>
    </w:p>
    <w:p>
      <w:pPr>
        <w:pStyle w:val="BodyText"/>
      </w:pPr>
      <w:r>
        <w:t xml:space="preserve">To end the chapter, we now turn to a warning, because remembrance is not proven by speech but by the way power is used.</w:t>
      </w:r>
    </w:p>
    <w:bookmarkEnd w:id="380"/>
    <w:bookmarkEnd w:id="381"/>
    <w:bookmarkStart w:id="383" w:name="in-closing"/>
    <w:p>
      <w:pPr>
        <w:pStyle w:val="Heading2"/>
      </w:pPr>
      <w:r>
        <w:t xml:space="preserve">10.6 In Closing</w:t>
      </w:r>
    </w:p>
    <w:p>
      <w:pPr>
        <w:pStyle w:val="FirstParagraph"/>
      </w:pPr>
      <w:r>
        <w:t xml:space="preserve">Here is a prophetic warning Bahá’u’lláh sent to Napoleon III and his fake claim of remembrance and how it violated the innate virtue of courtesy by betraying the people of Europe:</w:t>
      </w:r>
    </w:p>
    <w:p>
      <w:pPr>
        <w:pStyle w:val="BlockText"/>
      </w:pPr>
      <w:r>
        <w:t xml:space="preserve">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pPr>
        <w:pStyle w:val="BlockText"/>
      </w:pPr>
      <w:r>
        <w:t xml:space="preserve">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382"/>
      </w:r>
    </w:p>
    <w:p>
      <w:pPr>
        <w:pStyle w:val="FirstParagraph"/>
      </w:pPr>
      <w:r>
        <w:t xml:space="preserve">True remembrance is not proclaimed but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r>
        <w:br w:type="page"/>
      </w:r>
    </w:p>
    <w:bookmarkEnd w:id="383"/>
    <w:bookmarkEnd w:id="384"/>
    <w:bookmarkStart w:id="421" w:name="reflection"/>
    <w:p>
      <w:pPr>
        <w:pStyle w:val="Heading1"/>
      </w:pPr>
      <w:r>
        <w:t xml:space="preserve">11. Reflection</w:t>
      </w:r>
    </w:p>
    <w:p>
      <w:pPr>
        <w:pStyle w:val="FirstParagraph"/>
      </w:pPr>
      <w:r>
        <w:t xml:space="preserve">The next spiritual practice that Bahá’u’lláh describes in the Kitáb-i-Aqdas is reflection. Throughout the revelation, we are regularly commanded to reflect. Reflection as a spiritual practice is not something you commonly hear about, especially in Abrahamic religious circles. I typically viewed reflection as an act of mindful contemplation, perhaps thinking about how Bahá’u’lláh teaches,</w:t>
      </w:r>
      <w:r>
        <w:t xml:space="preserve"> </w:t>
      </w:r>
      <w:r>
        <w:t xml:space="preserve">“</w:t>
      </w:r>
      <w:r>
        <w:t xml:space="preserve">O Son of Being! Bring yourself to account each day before you are summoned to account, for death will come suddenly, and you will stand in judgment over your own self.</w:t>
      </w:r>
      <w:r>
        <w:t xml:space="preserve">”</w:t>
      </w:r>
      <w:r>
        <w:rPr>
          <w:rStyle w:val="FootnoteReference"/>
        </w:rPr>
        <w:footnoteReference w:id="385"/>
      </w:r>
      <w:r>
        <w:t xml:space="preserve"> </w:t>
      </w:r>
      <w:r>
        <w:t xml:space="preserve">Bringing to account had always seemed to be about asking myself if I have done what I was supposed to do, such as obeying Bahá’u’lláh’s laws. What if there is more to this accounting ledger?</w:t>
      </w:r>
    </w:p>
    <w:p>
      <w:pPr>
        <w:pStyle w:val="BodyText"/>
      </w:pPr>
      <w:r>
        <w:t xml:space="preserve">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pPr>
        <w:pStyle w:val="BodyText"/>
      </w:pPr>
      <w:r>
        <w:t xml:space="preserve">We aren’t judging based on the standards of humankind, but we are comparing how we align with God’s desire for us. If Muhammad is an example, he regularly retreated to the cave of Hira to reflect, and it was here that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pPr>
        <w:pStyle w:val="BodyText"/>
      </w:pPr>
      <w:r>
        <w:rPr>
          <w:iCs/>
          <w:i/>
        </w:rPr>
        <w:t xml:space="preserve">Reflection: When you</w:t>
      </w:r>
      <w:r>
        <w:rPr>
          <w:iCs/>
          <w:i/>
        </w:rPr>
        <w:t xml:space="preserve"> </w:t>
      </w:r>
      <w:r>
        <w:rPr>
          <w:iCs/>
          <w:i/>
        </w:rPr>
        <w:t xml:space="preserve">“</w:t>
      </w:r>
      <w:r>
        <w:rPr>
          <w:iCs/>
          <w:i/>
        </w:rPr>
        <w:t xml:space="preserve">bring yourself to account,</w:t>
      </w:r>
      <w:r>
        <w:rPr>
          <w:iCs/>
          <w:i/>
        </w:rPr>
        <w:t xml:space="preserve">”</w:t>
      </w:r>
      <w:r>
        <w:rPr>
          <w:iCs/>
          <w:i/>
        </w:rPr>
        <w:t xml:space="preserve"> </w:t>
      </w:r>
      <w:r>
        <w:rPr>
          <w:iCs/>
          <w:i/>
        </w:rPr>
        <w:t xml:space="preserve">what do you actually audit? Is there anything you tend to avoid?</w:t>
      </w:r>
    </w:p>
    <w:p>
      <w:pPr>
        <w:pStyle w:val="BodyText"/>
      </w:pPr>
      <w:r>
        <w:t xml:space="preserve">With reflection defined as integration, we can now ask what purposes reflection serves, because purpose determines what kind of understanding is being sought.</w:t>
      </w:r>
    </w:p>
    <w:bookmarkStart w:id="403" w:name="purposes-of-reflection"/>
    <w:p>
      <w:pPr>
        <w:pStyle w:val="Heading2"/>
      </w:pPr>
      <w:r>
        <w:t xml:space="preserve">11.1 Purposes of Reflection</w:t>
      </w:r>
    </w:p>
    <w:p>
      <w:pPr>
        <w:pStyle w:val="FirstParagraph"/>
      </w:pPr>
      <w:r>
        <w:t xml:space="preserve">Reflecting is for understanding</w:t>
      </w:r>
      <w:r>
        <w:rPr>
          <w:rStyle w:val="FootnoteReference"/>
        </w:rPr>
        <w:footnoteReference w:id="386"/>
      </w:r>
      <w:r>
        <w:t xml:space="preserve"> </w:t>
      </w:r>
      <w:r>
        <w:t xml:space="preserve">through discovering hidden pearls</w:t>
      </w:r>
      <w:r>
        <w:rPr>
          <w:rStyle w:val="FootnoteReference"/>
        </w:rPr>
        <w:footnoteReference w:id="387"/>
      </w:r>
      <w:r>
        <w:t xml:space="preserve"> </w:t>
      </w:r>
      <w:r>
        <w:t xml:space="preserve">such as pearls of mysteries from the Ocean.</w:t>
      </w:r>
      <w:r>
        <w:rPr>
          <w:rStyle w:val="FootnoteReference"/>
        </w:rPr>
        <w:footnoteReference w:id="388"/>
      </w:r>
      <w:r>
        <w:t xml:space="preserve"> </w:t>
      </w:r>
      <w:r>
        <w:t xml:space="preserve">What are we to understand?</w:t>
      </w:r>
    </w:p>
    <w:bookmarkStart w:id="389" w:name="the-choice-sealed-wine"/>
    <w:p>
      <w:pPr>
        <w:pStyle w:val="Heading3"/>
      </w:pPr>
      <w:r>
        <w:t xml:space="preserve">11.1.1 The Choice Sealed Wine</w:t>
      </w:r>
    </w:p>
    <w:p>
      <w:pPr>
        <w:pStyle w:val="FirstParagraph"/>
      </w:pPr>
      <w:r>
        <w:t xml:space="preserve">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bookmarkEnd w:id="389"/>
    <w:bookmarkStart w:id="392" w:name="the-bayán"/>
    <w:p>
      <w:pPr>
        <w:pStyle w:val="Heading3"/>
      </w:pPr>
      <w:r>
        <w:t xml:space="preserve">11.1.2 The Bayán</w:t>
      </w:r>
    </w:p>
    <w:p>
      <w:pPr>
        <w:pStyle w:val="FirstParagraph"/>
      </w:pPr>
      <w:r>
        <w:t xml:space="preserve">There is a section of the Kitáb-i-Aqdas addressed specifically towards the People of Eloquence, also known as the Bábís. Bahá’u’lláh says whoever</w:t>
      </w:r>
      <w:r>
        <w:t xml:space="preserve"> </w:t>
      </w:r>
      <w:r>
        <w:t xml:space="preserve">“</w:t>
      </w:r>
      <w:r>
        <w:t xml:space="preserve">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t xml:space="preserve">”</w:t>
      </w:r>
      <w:r>
        <w:rPr>
          <w:rStyle w:val="FootnoteReference"/>
        </w:rPr>
        <w:footnoteReference w:id="390"/>
      </w:r>
      <w:r>
        <w:t xml:space="preserve"> </w:t>
      </w:r>
      <w:r>
        <w:t xml:space="preserve">The Primal Point says,</w:t>
      </w:r>
      <w:r>
        <w:t xml:space="preserve"> </w:t>
      </w:r>
      <w:r>
        <w:t xml:space="preserve">“</w:t>
      </w:r>
      <w:r>
        <w:t xml:space="preserve">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t xml:space="preserve">”</w:t>
      </w:r>
      <w:r>
        <w:rPr>
          <w:rStyle w:val="FootnoteReference"/>
        </w:rPr>
        <w:footnoteReference w:id="391"/>
      </w:r>
      <w:r>
        <w:t xml:space="preserve"> </w:t>
      </w:r>
      <w:r>
        <w:t xml:space="preserve">The Bayán is a love letter to Bahá’u’lláh, and to reflect upon the Bayán is to discover hidden pearls of love for Bahá’u’lláh.</w:t>
      </w:r>
    </w:p>
    <w:bookmarkEnd w:id="392"/>
    <w:bookmarkStart w:id="394" w:name="the-qiblih"/>
    <w:p>
      <w:pPr>
        <w:pStyle w:val="Heading3"/>
      </w:pPr>
      <w:r>
        <w:t xml:space="preserve">11.1.3 The Qiblih</w:t>
      </w:r>
    </w:p>
    <w:p>
      <w:pPr>
        <w:pStyle w:val="FirstParagraph"/>
      </w:pPr>
      <w:r>
        <w:t xml:space="preserve">Bahá’u’lláh says to</w:t>
      </w:r>
      <w:r>
        <w:t xml:space="preserve"> </w:t>
      </w:r>
      <w:r>
        <w:t xml:space="preserve">“</w:t>
      </w:r>
      <w:r>
        <w:t xml:space="preserve">reflect regarding the Qiblih</w:t>
      </w:r>
      <w:r>
        <w:rPr>
          <w:rStyle w:val="FootnoteReference"/>
        </w:rPr>
        <w:footnoteReference w:id="393"/>
      </w:r>
      <w:r>
        <w:t xml:space="preserve"> </w:t>
      </w:r>
      <w:r>
        <w:t xml:space="preserve">pearls of mysteries from the ocean.</w:t>
      </w:r>
      <w:r>
        <w:t xml:space="preserve">”</w:t>
      </w:r>
      <w:r>
        <w:t xml:space="preserve"> </w:t>
      </w:r>
      <w:r>
        <w:t xml:space="preserve">To continue the theme of love and adoration, what would it mean to reflect regarding the Qiblih? Reflection, such as in this case, is not merely to acknowledge a fact, but to feel the nuances from the ocean of meanings. Today, what am I turning toward</w:t>
      </w:r>
      <w:r>
        <w:rPr>
          <w:iCs/>
          <w:i/>
          <w:bCs/>
          <w:b/>
        </w:rPr>
        <w:t xml:space="preserve">s</w:t>
      </w:r>
      <w:r>
        <w:t xml:space="preserve">? Tomorrow, what am I turning away from? Reflection regarding the Qiblih may offer opportunities to identify what we love, and from what we love, what do we turn to more than Bahá’u’lláh? Do we have multiple points of adoration?</w:t>
      </w:r>
    </w:p>
    <w:bookmarkEnd w:id="394"/>
    <w:bookmarkStart w:id="396" w:name="Xe59f9fd8a669aa558ff06b9b476d4d39774bf06"/>
    <w:p>
      <w:pPr>
        <w:pStyle w:val="Heading3"/>
      </w:pPr>
      <w:r>
        <w:t xml:space="preserve">11.1.4 Dawn and Evening on the Mercy and Favors of God</w:t>
      </w:r>
    </w:p>
    <w:p>
      <w:pPr>
        <w:pStyle w:val="FirstParagraph"/>
      </w:pPr>
      <w:r>
        <w:t xml:space="preserve">Bahá’u’lláh tells us to</w:t>
      </w:r>
      <w:r>
        <w:t xml:space="preserve"> </w:t>
      </w:r>
      <w:r>
        <w:t xml:space="preserve">“</w:t>
      </w:r>
      <w:r>
        <w:t xml:space="preserve">reflect, during the dawn and evening, on the mercy and favors of God. Give thanks.</w:t>
      </w:r>
      <w:r>
        <w:t xml:space="preserve">”</w:t>
      </w:r>
      <w:r>
        <w:rPr>
          <w:rStyle w:val="FootnoteReference"/>
        </w:rPr>
        <w:footnoteReference w:id="395"/>
      </w:r>
      <w:r>
        <w:t xml:space="preserve"> </w:t>
      </w:r>
      <w:r>
        <w:t xml:space="preserve">This could be a practice we take up during the obligatory prayer. Maybe during the prayer, we take moments to pause and reflect on the portion of the prayer recited. In those moments, we are meditating on a mercy God had bestowed on us. You might not be in prayer, but curled up in bed or on your sofa, reflecting on a favor. This is also a practice to help you, even on a burdensome day with some struggle or pain, to identify something good within it. This type of reflection is a difficult practice, but one which may help provide perspective on certain feelings. The heart is a great place for hidden pearls to be unveiled.</w:t>
      </w:r>
    </w:p>
    <w:bookmarkEnd w:id="396"/>
    <w:bookmarkStart w:id="400" w:name="your-lifecycle"/>
    <w:p>
      <w:pPr>
        <w:pStyle w:val="Heading3"/>
      </w:pPr>
      <w:r>
        <w:t xml:space="preserve">11.1.5 Your Lifecycle</w:t>
      </w:r>
    </w:p>
    <w:p>
      <w:pPr>
        <w:pStyle w:val="FirstParagraph"/>
      </w:pPr>
      <w:r>
        <w:t xml:space="preserve">The Kitáb-i-Aqdas tells us to</w:t>
      </w:r>
      <w:r>
        <w:t xml:space="preserve"> </w:t>
      </w:r>
      <w:r>
        <w:t xml:space="preserve">“</w:t>
      </w:r>
      <w:r>
        <w:t xml:space="preserve">reflect on what you were created from; indeed, all were created from a base fluid.</w:t>
      </w:r>
      <w:r>
        <w:t xml:space="preserve">”</w:t>
      </w:r>
      <w:r>
        <w:rPr>
          <w:rStyle w:val="FootnoteReference"/>
        </w:rPr>
        <w:footnoteReference w:id="397"/>
      </w:r>
      <w:r>
        <w:t xml:space="preserve"> </w:t>
      </w:r>
      <w:r>
        <w:t xml:space="preserve">Bahá’u’lláh also says to</w:t>
      </w:r>
      <w:r>
        <w:t xml:space="preserve"> </w:t>
      </w:r>
      <w:r>
        <w:t xml:space="preserve">“</w:t>
      </w:r>
      <w:r>
        <w:t xml:space="preserve">reflect on your end, don’t be unjust.</w:t>
      </w:r>
      <w:r>
        <w:t xml:space="preserve">”</w:t>
      </w:r>
      <w:r>
        <w:rPr>
          <w:rStyle w:val="FootnoteReference"/>
        </w:rPr>
        <w:footnoteReference w:id="398"/>
      </w:r>
      <w:r>
        <w:t xml:space="preserve"> </w:t>
      </w:r>
      <w:r>
        <w:t xml:space="preserve">He provides counsel for how we live our lives between our creation and our end. He says,</w:t>
      </w:r>
      <w:r>
        <w:t xml:space="preserve"> </w:t>
      </w:r>
      <w:r>
        <w:t xml:space="preserve">“</w:t>
      </w:r>
      <w:r>
        <w:t xml:space="preserve">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t xml:space="preserve">”</w:t>
      </w:r>
      <w:r>
        <w:rPr>
          <w:rStyle w:val="FootnoteReference"/>
        </w:rPr>
        <w:footnoteReference w:id="399"/>
      </w:r>
    </w:p>
    <w:p>
      <w:pPr>
        <w:pStyle w:val="BodyText"/>
      </w:pPr>
      <w:r>
        <w:t xml:space="preserve">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into how we apply our constellation of virtues. Awareness of the inevitable end may keep a regular perspective for the unique situations we find ourselves in.</w:t>
      </w:r>
    </w:p>
    <w:bookmarkEnd w:id="400"/>
    <w:bookmarkStart w:id="402" w:name="Xef06f739bf854cda6b81ce9d682af69f69dd1b9"/>
    <w:p>
      <w:pPr>
        <w:pStyle w:val="Heading3"/>
      </w:pPr>
      <w:r>
        <w:t xml:space="preserve">11.1.6 The World and the Conditions of Its People</w:t>
      </w:r>
    </w:p>
    <w:p>
      <w:pPr>
        <w:pStyle w:val="FirstParagraph"/>
      </w:pPr>
      <w:r>
        <w:t xml:space="preserve">Reflection is also a bridge between the individual’s spiritual life and how we use our life to honor God within the world. Bahá’u’lláh says to</w:t>
      </w:r>
      <w:r>
        <w:t xml:space="preserve"> </w:t>
      </w:r>
      <w:r>
        <w:t xml:space="preserve">“</w:t>
      </w:r>
      <w:r>
        <w:t xml:space="preserve">reflect upon the world and the condition of its people.</w:t>
      </w:r>
      <w:r>
        <w:t xml:space="preserve">”</w:t>
      </w:r>
      <w:r>
        <w:rPr>
          <w:rStyle w:val="FootnoteReference"/>
        </w:rPr>
        <w:footnoteReference w:id="401"/>
      </w:r>
      <w:r>
        <w:t xml:space="preserve"> </w:t>
      </w:r>
      <w:r>
        <w:t xml:space="preserve">Maybe you are reading a political editorial or having a conversation with a friend regarding a social issue. Emotions are high, as there are reasons to feel strongly. What if you reflect during such moments? Your prayers, recitation, and remembrance have prepared you to reflect on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 harms which occur when people lack faith, lack love for God, or lack the fear of God.</w:t>
      </w:r>
    </w:p>
    <w:p>
      <w:pPr>
        <w:pStyle w:val="BodyText"/>
      </w:pPr>
      <w:r>
        <w:t xml:space="preserve">Reflection, then, is not solely about how our souls reflect God for our own liberation, but also about the potential liberation of the world and its people. Reflection is what helps make prayer, recitation, and remembrance active within the world. Reflection is the initiator of the Cause of God.</w:t>
      </w:r>
    </w:p>
    <w:p>
      <w:pPr>
        <w:pStyle w:val="BodyText"/>
      </w:pPr>
      <w:r>
        <w:rPr>
          <w:iCs/>
          <w:i/>
        </w:rPr>
        <w:t xml:space="preserve">Reflection: Which purpose of reflection draws you most—hidden pearls, love of the Bayán, discernment of the Qiblih, gratitude at dawn and evening, mortality, or the condition of the world—and why?</w:t>
      </w:r>
    </w:p>
    <w:p>
      <w:pPr>
        <w:pStyle w:val="BodyText"/>
      </w:pPr>
      <w:r>
        <w:t xml:space="preserve">With the purposes established, we can now move from why we reflect to how we reflect, because method determines whether insight becomes transformation.</w:t>
      </w:r>
    </w:p>
    <w:bookmarkEnd w:id="402"/>
    <w:bookmarkEnd w:id="403"/>
    <w:bookmarkStart w:id="411" w:name="how-do-we-reflect"/>
    <w:p>
      <w:pPr>
        <w:pStyle w:val="Heading2"/>
      </w:pPr>
      <w:r>
        <w:t xml:space="preserve">11.2 How Do We Reflect?</w:t>
      </w:r>
    </w:p>
    <w:p>
      <w:pPr>
        <w:pStyle w:val="BlockText"/>
      </w:pPr>
      <w:r>
        <w:t xml:space="preserve">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404"/>
      </w:r>
    </w:p>
    <w:p>
      <w:pPr>
        <w:pStyle w:val="FirstParagraph"/>
      </w:pPr>
      <w:r>
        <w:t xml:space="preserve">The quote above from The Báb encapsulates perfectly what it means to be a mirror. We are what we reflect, in this life and thereafter. If the purpose of the mirror of the soul is to reflect the light of God, what inhibits the ability to reflect?</w:t>
      </w:r>
    </w:p>
    <w:p>
      <w:pPr>
        <w:pStyle w:val="BodyText"/>
      </w:pPr>
      <w:r>
        <w:t xml:space="preserve">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that once it attained a spiritual station, that station was permanent, mistakenly doing what it wanted. Each day that passes allows more dust to settle on the mirror. Eventually, no light reflects as the dust absorbs the light.</w:t>
      </w:r>
    </w:p>
    <w:p>
      <w:pPr>
        <w:pStyle w:val="BodyText"/>
      </w:pPr>
      <w:r>
        <w:t xml:space="preserve">How do we reflect to ensure our best reflection, so that our soul may attain the liberation of paradise?</w:t>
      </w:r>
    </w:p>
    <w:bookmarkStart w:id="406" w:name="detach-and-purify"/>
    <w:p>
      <w:pPr>
        <w:pStyle w:val="Heading3"/>
      </w:pPr>
      <w:r>
        <w:t xml:space="preserve">11.2.1 Detach and Purify</w:t>
      </w:r>
    </w:p>
    <w:p>
      <w:pPr>
        <w:pStyle w:val="FirstParagraph"/>
      </w:pPr>
      <w:r>
        <w:t xml:space="preserve">Bahá’u’lláh says in the Book of Certitude:</w:t>
      </w:r>
      <w:r>
        <w:t xml:space="preserve"> </w:t>
      </w:r>
      <w:r>
        <w:t xml:space="preserve">“</w:t>
      </w:r>
      <w:r>
        <w:t xml:space="preserve">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r>
        <w:t xml:space="preserve">”</w:t>
      </w:r>
    </w:p>
    <w:p>
      <w:pPr>
        <w:pStyle w:val="BodyText"/>
      </w:pPr>
      <w:r>
        <w:t xml:space="preserve">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pPr>
        <w:pStyle w:val="BodyText"/>
      </w:pPr>
      <w:r>
        <w:t xml:space="preserve">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’Abbás Effendi, sought medical care.</w:t>
      </w:r>
      <w:r>
        <w:rPr>
          <w:rStyle w:val="FootnoteReference"/>
        </w:rPr>
        <w:footnoteReference w:id="405"/>
      </w:r>
      <w:r>
        <w:t xml:space="preserve"> </w:t>
      </w:r>
      <w:r>
        <w:t xml:space="preserve">Yet, race was notably absent from the Revelation of God through Bahá’u’lláh. This begs the question: Is race real?</w:t>
      </w:r>
    </w:p>
    <w:p>
      <w:pPr>
        <w:pStyle w:val="BodyText"/>
      </w:pPr>
      <w:r>
        <w:t xml:space="preserve">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identify what is real, what is actually true, versus what people may tell us is real and true. This discernment is incredibly important.</w:t>
      </w:r>
    </w:p>
    <w:p>
      <w:pPr>
        <w:pStyle w:val="BodyText"/>
      </w:pPr>
      <w:r>
        <w:t xml:space="preserve">Other vain imaginings which people often attach themselves to can include political ideologies or parties, religious identity and labels, conditions of the ego, or even social and economic outcomes. Detach from all save God. To purify in these types of contexts could include identifying what we love or hate and understanding why. Do we allow our feelings to judge where we shouldn’t? Do we blindly follow what is popular or what our families commanded us to follow? Do we get caught up in our own self-doubts and insecurities? These things act to turn our mirrors in directions which reflect corruption, not the radiant light of God. Even if we proclaim</w:t>
      </w:r>
      <w:r>
        <w:t xml:space="preserve"> </w:t>
      </w:r>
      <w:r>
        <w:t xml:space="preserve">“</w:t>
      </w:r>
      <w:r>
        <w:t xml:space="preserve">I believe</w:t>
      </w:r>
      <w:r>
        <w:t xml:space="preserve">”</w:t>
      </w:r>
      <w:r>
        <w:t xml:space="preserve"> </w:t>
      </w:r>
      <w:r>
        <w:t xml:space="preserve">and still remain attached to things which may not even be real or conducive to the liberation of self, soul, and society, we accumulate a substantial amount of dust on our mirrors.</w:t>
      </w:r>
    </w:p>
    <w:p>
      <w:pPr>
        <w:pStyle w:val="BodyText"/>
      </w:pPr>
      <w:r>
        <w:t xml:space="preserve">God is the creator of all, but maybe Satan is merely the corrupter.</w:t>
      </w:r>
    </w:p>
    <w:bookmarkEnd w:id="406"/>
    <w:bookmarkStart w:id="408" w:name="cleanse-the-mirror"/>
    <w:p>
      <w:pPr>
        <w:pStyle w:val="Heading3"/>
      </w:pPr>
      <w:r>
        <w:t xml:space="preserve">11.2.2 Cleanse the Mirror</w:t>
      </w:r>
    </w:p>
    <w:p>
      <w:pPr>
        <w:pStyle w:val="FirstParagraph"/>
      </w:pPr>
      <w:r>
        <w:t xml:space="preserve">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pPr>
        <w:pStyle w:val="BlockText"/>
      </w:pPr>
      <w:r>
        <w:t xml:space="preserve">The essence of faith is to speak little and to act abundantly; and if one’s words exceed his deeds, know that his nonexistence is better than his existence, and his demise is better than his survival. The foundation of well-being is silence, consideration of the consequences, and withdrawal from the people.</w:t>
      </w:r>
      <w:r>
        <w:rPr>
          <w:rStyle w:val="FootnoteReference"/>
        </w:rPr>
        <w:footnoteReference w:id="407"/>
      </w:r>
    </w:p>
    <w:p>
      <w:pPr>
        <w:pStyle w:val="FirstParagraph"/>
      </w:pPr>
      <w:r>
        <w:t xml:space="preserve">Reflection requires silence, stillness, and a sincere desire to look both inward and, while looking outward, deeply. Our spiritual eyes must be piercing. Tools such as meditation or yoga can be useful, as long as the practices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 consolidate all of these sources of knowledge, feeling, and experience into a form greater than the sum of their parts.</w:t>
      </w:r>
    </w:p>
    <w:p>
      <w:pPr>
        <w:pStyle w:val="BodyText"/>
      </w:pPr>
      <w:r>
        <w:t xml:space="preserve">Through this process we can identify a truth about every aspect of our lives, and allow spiritual discernment to increasingly act as our compass. While imperfect, we strive for the process of perfection.</w:t>
      </w:r>
    </w:p>
    <w:bookmarkEnd w:id="408"/>
    <w:bookmarkStart w:id="410" w:name="reorient"/>
    <w:p>
      <w:pPr>
        <w:pStyle w:val="Heading3"/>
      </w:pPr>
      <w:r>
        <w:t xml:space="preserve">11.2.3 Reorient</w:t>
      </w:r>
    </w:p>
    <w:p>
      <w:pPr>
        <w:pStyle w:val="FirstParagraph"/>
      </w:pPr>
      <w:r>
        <w:t xml:space="preserve">The eventual goal is for the soul to be reoriented, facing away from these attachments, imaginings, and worldly affairs and turned towards God. Bahá’u’lláh asks us,</w:t>
      </w:r>
      <w:r>
        <w:t xml:space="preserve"> </w:t>
      </w:r>
      <w:r>
        <w:t xml:space="preserve">“</w:t>
      </w:r>
      <w:r>
        <w:t xml:space="preserve">O Son of the Cloud I call you to eternal life, yet you seek annihilation. Why have you turned away from what I love and turned toward what you desire?</w:t>
      </w:r>
      <w:r>
        <w:t xml:space="preserve">”</w:t>
      </w:r>
      <w:r>
        <w:rPr>
          <w:rStyle w:val="FootnoteReference"/>
        </w:rPr>
        <w:footnoteReference w:id="409"/>
      </w:r>
    </w:p>
    <w:p>
      <w:pPr>
        <w:pStyle w:val="BodyText"/>
      </w:pPr>
      <w:r>
        <w:t xml:space="preserve">I will close this section with the first paragraphs of Bahá’u’lláh’s Seven Valleys describing the Valley of the Annihilation of Self:</w:t>
      </w:r>
    </w:p>
    <w:p>
      <w:pPr>
        <w:pStyle w:val="BlockText"/>
      </w:pPr>
      <w:r>
        <w:t xml:space="preserve">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pPr>
        <w:pStyle w:val="FirstParagraph"/>
      </w:pPr>
      <w:r>
        <w:rPr>
          <w:iCs/>
          <w:i/>
        </w:rPr>
        <w:t xml:space="preserve">Reflection: When you notice</w:t>
      </w:r>
      <w:r>
        <w:rPr>
          <w:iCs/>
          <w:i/>
        </w:rPr>
        <w:t xml:space="preserve"> </w:t>
      </w:r>
      <w:r>
        <w:rPr>
          <w:iCs/>
          <w:i/>
        </w:rPr>
        <w:t xml:space="preserve">“</w:t>
      </w:r>
      <w:r>
        <w:rPr>
          <w:iCs/>
          <w:i/>
        </w:rPr>
        <w:t xml:space="preserve">dust</w:t>
      </w:r>
      <w:r>
        <w:rPr>
          <w:iCs/>
          <w:i/>
        </w:rPr>
        <w:t xml:space="preserve">”</w:t>
      </w:r>
      <w:r>
        <w:rPr>
          <w:iCs/>
          <w:i/>
        </w:rPr>
        <w:t xml:space="preserve"> </w:t>
      </w:r>
      <w:r>
        <w:rPr>
          <w:iCs/>
          <w:i/>
        </w:rPr>
        <w:t xml:space="preserve">on the mirror, what is your most common form of dust and what helps you cleanse it without self-condemnation?</w:t>
      </w:r>
    </w:p>
    <w:p>
      <w:pPr>
        <w:pStyle w:val="BodyText"/>
      </w:pPr>
      <w:r>
        <w:t xml:space="preserve">With method established, we can now return to the Unknown Sister and see how reflection gives pure truthfulness its shape, so truth becomes alignment rather than weapon.</w:t>
      </w:r>
    </w:p>
    <w:bookmarkEnd w:id="410"/>
    <w:bookmarkEnd w:id="411"/>
    <w:bookmarkStart w:id="419" w:name="X4b98c16f39a4cef447479e9bc3c3d7c18bbc02b"/>
    <w:p>
      <w:pPr>
        <w:pStyle w:val="Heading2"/>
      </w:pPr>
      <w:r>
        <w:t xml:space="preserve">11.3 Illuminations of The Unknown Sister - Emergent Virtues from Pure Truthfulness</w:t>
      </w:r>
    </w:p>
    <w:bookmarkStart w:id="412" w:name="eloquence"/>
    <w:p>
      <w:pPr>
        <w:pStyle w:val="Heading3"/>
      </w:pPr>
      <w:r>
        <w:t xml:space="preserve">11.3.1 Eloquence</w:t>
      </w:r>
    </w:p>
    <w:p>
      <w:pPr>
        <w:pStyle w:val="FirstParagraph"/>
      </w:pPr>
      <w:r>
        <w:t xml:space="preserve">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bookmarkEnd w:id="412"/>
    <w:bookmarkStart w:id="413" w:name="heedfulness"/>
    <w:p>
      <w:pPr>
        <w:pStyle w:val="Heading3"/>
      </w:pPr>
      <w:r>
        <w:t xml:space="preserve">11.3.2 Heedfulness</w:t>
      </w:r>
    </w:p>
    <w:p>
      <w:pPr>
        <w:pStyle w:val="FirstParagraph"/>
      </w:pPr>
      <w:r>
        <w:t xml:space="preserve">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bookmarkEnd w:id="413"/>
    <w:bookmarkStart w:id="414" w:name="perception"/>
    <w:p>
      <w:pPr>
        <w:pStyle w:val="Heading3"/>
      </w:pPr>
      <w:r>
        <w:t xml:space="preserve">11.3.3 Perception</w:t>
      </w:r>
    </w:p>
    <w:p>
      <w:pPr>
        <w:pStyle w:val="FirstParagraph"/>
      </w:pPr>
      <w:r>
        <w:t xml:space="preserve">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bookmarkEnd w:id="414"/>
    <w:bookmarkStart w:id="415" w:name="wisdom"/>
    <w:p>
      <w:pPr>
        <w:pStyle w:val="Heading3"/>
      </w:pPr>
      <w:r>
        <w:t xml:space="preserve">11.3.4 Wisdom</w:t>
      </w:r>
    </w:p>
    <w:p>
      <w:pPr>
        <w:pStyle w:val="FirstParagraph"/>
      </w:pPr>
      <w:r>
        <w:t xml:space="preserve">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bookmarkEnd w:id="415"/>
    <w:bookmarkStart w:id="416" w:name="reason"/>
    <w:p>
      <w:pPr>
        <w:pStyle w:val="Heading3"/>
      </w:pPr>
      <w:r>
        <w:t xml:space="preserve">11.3.5 Reason</w:t>
      </w:r>
    </w:p>
    <w:p>
      <w:pPr>
        <w:pStyle w:val="FirstParagraph"/>
      </w:pPr>
      <w:r>
        <w:t xml:space="preserve">Reflection brings coherence to her thoughts. Emotion no longer dominates the landscape unchecked. Reason helps her see consequences unfolding beyond the present moment, how words spoken now may echo for years, how silence may also shape futures. It does not replace compassion; it steadies it.</w:t>
      </w:r>
    </w:p>
    <w:bookmarkEnd w:id="416"/>
    <w:bookmarkStart w:id="417" w:name="sincerity"/>
    <w:p>
      <w:pPr>
        <w:pStyle w:val="Heading3"/>
      </w:pPr>
      <w:r>
        <w:t xml:space="preserve">11.3.6 Sincerity</w:t>
      </w:r>
    </w:p>
    <w:p>
      <w:pPr>
        <w:pStyle w:val="FirstParagraph"/>
      </w:pPr>
      <w:r>
        <w:t xml:space="preserve">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bookmarkEnd w:id="417"/>
    <w:bookmarkStart w:id="418" w:name="pure-truthfulness-innate-virtue"/>
    <w:p>
      <w:pPr>
        <w:pStyle w:val="Heading3"/>
      </w:pPr>
      <w:r>
        <w:t xml:space="preserve">11.3.7 Pure Truthfulness (Innate Virtue)</w:t>
      </w:r>
    </w:p>
    <w:p>
      <w:pPr>
        <w:pStyle w:val="FirstParagraph"/>
      </w:pPr>
      <w:r>
        <w:t xml:space="preserve">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pPr>
        <w:pStyle w:val="BodyText"/>
      </w:pPr>
      <w:r>
        <w:rPr>
          <w:iCs/>
          <w:i/>
        </w:rPr>
        <w:t xml:space="preserve">Reflection: What are various things which can impair the emergent virtues from pure truthfulness? How does reflection overcome these impairments?</w:t>
      </w:r>
    </w:p>
    <w:bookmarkEnd w:id="418"/>
    <w:bookmarkEnd w:id="419"/>
    <w:bookmarkStart w:id="420" w:name="summary-4"/>
    <w:p>
      <w:pPr>
        <w:pStyle w:val="Heading2"/>
      </w:pPr>
      <w:r>
        <w:t xml:space="preserve">11.4 Summary</w:t>
      </w:r>
    </w:p>
    <w:p>
      <w:pPr>
        <w:pStyle w:val="FirstParagraph"/>
      </w:pPr>
      <w:r>
        <w:t xml:space="preserve">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learn how to honor God and see how reflection becomes action, and how the inner alignment of the soul is translated into how we live.</w:t>
      </w:r>
    </w:p>
    <w:p>
      <w:r>
        <w:br w:type="page"/>
      </w:r>
    </w:p>
    <w:bookmarkEnd w:id="420"/>
    <w:bookmarkEnd w:id="421"/>
    <w:bookmarkStart w:id="492" w:name="honoring-god"/>
    <w:p>
      <w:pPr>
        <w:pStyle w:val="Heading1"/>
      </w:pPr>
      <w:r>
        <w:t xml:space="preserve">12. Honoring God</w:t>
      </w:r>
    </w:p>
    <w:bookmarkStart w:id="426" w:name="X65a4ff13a248209557a5fb0a1d78b1ed4564c57"/>
    <w:p>
      <w:pPr>
        <w:pStyle w:val="Heading2"/>
      </w:pPr>
      <w:r>
        <w:t xml:space="preserve">12.1 Introduction: Honoring God as a Sacred Practice</w:t>
      </w:r>
    </w:p>
    <w:p>
      <w:pPr>
        <w:pStyle w:val="FirstParagraph"/>
      </w:pPr>
      <w:r>
        <w:t xml:space="preserve">In the opening of the Kitáb-i-Aqdas, which frames the purpose of the Book, Bahá’u’lláh says,</w:t>
      </w:r>
      <w:r>
        <w:t xml:space="preserve"> </w:t>
      </w:r>
      <w:r>
        <w:t xml:space="preserve">“</w:t>
      </w:r>
      <w:r>
        <w:t xml:space="preserve">The tongue of My power has spoken in the dominion of My greatness, addressing My creation: “Carry out My ordinances out of love for My beauty.</w:t>
      </w:r>
      <w:r>
        <w:t xml:space="preserve">”</w:t>
      </w:r>
      <w:r>
        <w:t xml:space="preserve"> </w:t>
      </w:r>
      <w:r>
        <w:t xml:space="preserve">Blessed is the lover who has inhaled the fragrance of the Beloved from this word, from which the breezes of bounty have wafted in an indescribable manner.”</w:t>
      </w:r>
      <w:r>
        <w:rPr>
          <w:rStyle w:val="FootnoteReference"/>
        </w:rPr>
        <w:footnoteReference w:id="422"/>
      </w:r>
      <w:r>
        <w:t xml:space="preserve"> </w:t>
      </w:r>
      <w:r>
        <w:t xml:space="preserve">This places an important context for our spiritual practice. Every command is to be carried out of love. This love is not only one way. In</w:t>
      </w:r>
      <w:r>
        <w:t xml:space="preserve"> </w:t>
      </w:r>
      <w:r>
        <w:rPr>
          <w:highlight w:val="yellow"/>
        </w:rPr>
        <w:t xml:space="preserve">Chapter 1</w:t>
      </w:r>
      <w:r>
        <w:t xml:space="preserve"> </w:t>
      </w:r>
      <w:r>
        <w:t xml:space="preserve">we learned how one of God’s names is Love and Beloved. God’s love not only burns away the veils</w:t>
      </w:r>
      <w:r>
        <w:rPr>
          <w:rStyle w:val="FootnoteReference"/>
        </w:rPr>
        <w:footnoteReference w:id="423"/>
      </w:r>
      <w:r>
        <w:t xml:space="preserve"> </w:t>
      </w:r>
      <w:r>
        <w:t xml:space="preserve">which prevent the soul from being a true mirror, it is also the key to the hidden treasure.</w:t>
      </w:r>
      <w:r>
        <w:rPr>
          <w:rStyle w:val="FootnoteReference"/>
        </w:rPr>
        <w:footnoteReference w:id="424"/>
      </w:r>
      <w:r>
        <w:t xml:space="preserve"> </w:t>
      </w:r>
      <w:r>
        <w:t xml:space="preserve">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425"/>
      </w:r>
      <w:r>
        <w:t xml:space="preserve"> </w:t>
      </w:r>
      <w:r>
        <w:t xml:space="preserve">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w:t>
      </w:r>
      <w:r>
        <w:t xml:space="preserve"> </w:t>
      </w:r>
      <w:r>
        <w:t xml:space="preserve">“</w:t>
      </w:r>
      <w:r>
        <w:t xml:space="preserve">honoring God.</w:t>
      </w:r>
      <w:r>
        <w:t xml:space="preserve">”</w:t>
      </w:r>
      <w:r>
        <w:t xml:space="preserve"> </w:t>
      </w:r>
      <w:r>
        <w:t xml:space="preserve">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pPr>
        <w:pStyle w:val="BodyText"/>
      </w:pPr>
      <w:r>
        <w:rPr>
          <w:iCs/>
          <w:i/>
        </w:rPr>
        <w:t xml:space="preserve">Reflection: When you think of</w:t>
      </w:r>
      <w:r>
        <w:rPr>
          <w:iCs/>
          <w:i/>
        </w:rPr>
        <w:t xml:space="preserve"> </w:t>
      </w:r>
      <w:r>
        <w:rPr>
          <w:iCs/>
          <w:i/>
        </w:rPr>
        <w:t xml:space="preserve">“</w:t>
      </w:r>
      <w:r>
        <w:rPr>
          <w:iCs/>
          <w:i/>
        </w:rPr>
        <w:t xml:space="preserve">honoring God,</w:t>
      </w:r>
      <w:r>
        <w:rPr>
          <w:iCs/>
          <w:i/>
        </w:rPr>
        <w:t xml:space="preserve">”</w:t>
      </w:r>
      <w:r>
        <w:rPr>
          <w:iCs/>
          <w:i/>
        </w:rPr>
        <w:t xml:space="preserve"> </w:t>
      </w:r>
      <w:r>
        <w:rPr>
          <w:iCs/>
          <w:i/>
        </w:rPr>
        <w:t xml:space="preserve">do you feel burden, love, or something in between, and why?</w:t>
      </w:r>
    </w:p>
    <w:p>
      <w:pPr>
        <w:pStyle w:val="BodyText"/>
      </w:pPr>
      <w:r>
        <w:t xml:space="preserve">We begin with the most communal and visible act of devotion, the building of places dedicated to remembrance.</w:t>
      </w:r>
    </w:p>
    <w:bookmarkEnd w:id="426"/>
    <w:bookmarkStart w:id="439" w:name="honor-god-within-sacred-spaces"/>
    <w:p>
      <w:pPr>
        <w:pStyle w:val="Heading2"/>
      </w:pPr>
      <w:r>
        <w:t xml:space="preserve">12.2 Honor God Within Sacred Spaces</w:t>
      </w:r>
    </w:p>
    <w:bookmarkStart w:id="435" w:name="build-the-mashriqul-adhkár"/>
    <w:p>
      <w:pPr>
        <w:pStyle w:val="Heading3"/>
      </w:pPr>
      <w:r>
        <w:t xml:space="preserve">12.2.1 Build the Mashriqu’l-Adhkár</w:t>
      </w:r>
    </w:p>
    <w:p>
      <w:pPr>
        <w:pStyle w:val="FirstParagraph"/>
      </w:pPr>
      <w:r>
        <w:t xml:space="preserve">The Mashriqu’l-Adhkár means the Dawning Place of the Remembrance of God. It is every house built for the remembrance in cities and villages.</w:t>
      </w:r>
      <w:r>
        <w:rPr>
          <w:rStyle w:val="FootnoteReference"/>
        </w:rPr>
        <w:footnoteReference w:id="427"/>
      </w:r>
      <w:r>
        <w:t xml:space="preserve"> </w:t>
      </w:r>
      <w:r>
        <w:t xml:space="preserve">These houses are to be built in the name of the Lord of all religions.</w:t>
      </w:r>
      <w:r>
        <w:rPr>
          <w:rStyle w:val="FootnoteReference"/>
        </w:rPr>
        <w:footnoteReference w:id="428"/>
      </w:r>
      <w:r>
        <w:t xml:space="preserve"> </w:t>
      </w:r>
      <w:r>
        <w:t xml:space="preserve">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429"/>
      </w:r>
      <w:r>
        <w:t xml:space="preserve"> </w:t>
      </w:r>
      <w:r>
        <w:t xml:space="preserve">They should be established with wisdom, so that their building does not cause conflict.</w:t>
      </w:r>
      <w:r>
        <w:rPr>
          <w:rStyle w:val="FootnoteReference"/>
        </w:rPr>
        <w:footnoteReference w:id="430"/>
      </w:r>
      <w:r>
        <w:t xml:space="preserve"> </w:t>
      </w:r>
      <w:r>
        <w:t xml:space="preserve">For example, Bahá’u’lláh advised the community of Ṭihrán and some others to wait to establish the Mashriqu’l-Adhkár. In other instances, they were successfully built such as in Mosul</w:t>
      </w:r>
      <w:r>
        <w:rPr>
          <w:rStyle w:val="FootnoteReference"/>
        </w:rPr>
        <w:footnoteReference w:id="431"/>
      </w:r>
      <w:r>
        <w:t xml:space="preserve"> </w:t>
      </w:r>
      <w:r>
        <w:t xml:space="preserve">and Yazd.</w:t>
      </w:r>
      <w:r>
        <w:rPr>
          <w:rStyle w:val="FootnoteReference"/>
        </w:rPr>
        <w:footnoteReference w:id="432"/>
      </w:r>
      <w:r>
        <w:t xml:space="preserve"> </w:t>
      </w:r>
      <w:r>
        <w:t xml:space="preserve">Bahá’u’lláh says:</w:t>
      </w:r>
    </w:p>
    <w:p>
      <w:pPr>
        <w:pStyle w:val="BlockText"/>
      </w:pPr>
      <w:r>
        <w:t xml:space="preserve">“</w:t>
      </w:r>
      <w:r>
        <w:t xml:space="preserve">Blessed is the hive, the house, the station, the city, the heart, the mountain, the cave, the sanctuary, the wilderness, the land, the sea, the island, and the dwelling where the mention and praise of God have been raised.</w:t>
      </w:r>
      <w:r>
        <w:t xml:space="preserve">”</w:t>
      </w:r>
    </w:p>
    <w:p>
      <w:pPr>
        <w:pStyle w:val="FirstParagraph"/>
      </w:pPr>
      <w:r>
        <w:t xml:space="preserve">While being perfect, they also do not need to be extravagant. For example, ’Alí Jináb-i-’Azíz and Mírzá Muḥammad Káẓim established Mashriqu’l-Adhkárs at their houses.</w:t>
      </w:r>
      <w:r>
        <w:rPr>
          <w:rStyle w:val="FootnoteReference"/>
        </w:rPr>
        <w:footnoteReference w:id="433"/>
      </w:r>
      <w:r>
        <w:t xml:space="preserve"> </w:t>
      </w:r>
      <w:r>
        <w:t xml:space="preserve">Their perfection was not the wealth used to build them nor world-renowned architects. The perfection was from the love, devotion, sincerity, and purity of intention used in their creation and use.</w:t>
      </w:r>
    </w:p>
    <w:p>
      <w:pPr>
        <w:pStyle w:val="BodyText"/>
      </w:pPr>
      <w:r>
        <w:t xml:space="preserve">Bahá’u’lláh says we should</w:t>
      </w:r>
      <w:r>
        <w:t xml:space="preserve"> </w:t>
      </w:r>
      <w:r>
        <w:t xml:space="preserve">“</w:t>
      </w:r>
      <w:r>
        <w:t xml:space="preserve">turn towards the Dawning Place at dawn, reflecting, remembering, reflecting, and seeking forgiveness. Remembrance should be with spirit and fragrance. When we enter, we should sit in silence, listening to the verses of God.</w:t>
      </w:r>
      <w:r>
        <w:t xml:space="preserve">”</w:t>
      </w:r>
      <w:r>
        <w:t xml:space="preserve"> </w:t>
      </w:r>
      <w:r>
        <w:t xml:space="preserve">This implies the presence of someone reciting the verses of God aloud.</w:t>
      </w:r>
    </w:p>
    <w:p>
      <w:pPr>
        <w:pStyle w:val="BodyText"/>
      </w:pPr>
      <w:r>
        <w:t xml:space="preserve">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Shíráz and Bahá’u’lláh’s house in Baghdád. Each visit, in a way, can be as a pilgrimage.</w:t>
      </w:r>
    </w:p>
    <w:p>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w:t>
      </w:r>
      <w:r>
        <w:t xml:space="preserve"> </w:t>
      </w:r>
      <w:r>
        <w:t xml:space="preserve">“</w:t>
      </w:r>
      <w:r>
        <w:t xml:space="preserve">remembers those who gathered or will gather to serve God, that they may rejoice and be among the thankful. Upon them are My glory, My remembrance, and My praise.</w:t>
      </w:r>
      <w:r>
        <w:t xml:space="preserve">”</w:t>
      </w:r>
      <w:r>
        <w:rPr>
          <w:rStyle w:val="FootnoteReference"/>
        </w:rPr>
        <w:footnoteReference w:id="434"/>
      </w:r>
    </w:p>
    <w:p>
      <w:pPr>
        <w:pStyle w:val="BodyText"/>
      </w:pPr>
      <w:r>
        <w:t xml:space="preserve">As there would be chambers, there are also opportunities for private remembrance, recitation, reflection, or prayer. The choice could be yours, depending on how your spirit needs that day. Remembrance in the Dawning Place is not required in the evenings, but I could see that,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bookmarkEnd w:id="435"/>
    <w:bookmarkStart w:id="438" w:name="pilgrimage"/>
    <w:p>
      <w:pPr>
        <w:pStyle w:val="Heading3"/>
      </w:pPr>
      <w:r>
        <w:t xml:space="preserve">12.2.2 Pilgrimage</w:t>
      </w:r>
    </w:p>
    <w:p>
      <w:pPr>
        <w:pStyle w:val="FirstParagraph"/>
      </w:pPr>
      <w:r>
        <w:t xml:space="preserve">The Kitáb-i-Aqdas enjoins pilgrimage to the Sacred House.</w:t>
      </w:r>
      <w:r>
        <w:rPr>
          <w:rStyle w:val="FootnoteReference"/>
        </w:rPr>
        <w:footnoteReference w:id="436"/>
      </w:r>
      <w:r>
        <w:t xml:space="preserve"> </w:t>
      </w:r>
      <w:r>
        <w:t xml:space="preserve">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Shíráz, Iran. When the revelation of Bahá’u’lláh was first announced, the House was Bahá’u’lláh’s home in Baghdád, Iraq. Bahá’u’lláh revealed two pilgrimage tablets for both Sacred Houses.</w:t>
      </w:r>
    </w:p>
    <w:p>
      <w:pPr>
        <w:pStyle w:val="BodyText"/>
      </w:pPr>
      <w:r>
        <w:t xml:space="preserve">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that God desires to welcome you to His house and you are the honored guest. As an act of hospitality, our Beloved will provide for whatever you actually need for the nourishment and comfort of the soul.</w:t>
      </w:r>
    </w:p>
    <w:p>
      <w:pPr>
        <w:pStyle w:val="BodyText"/>
      </w:pPr>
      <w:r>
        <w:t xml:space="preserve">The pilgrimage is for only those who are able to perform it.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pPr>
        <w:pStyle w:val="BodyText"/>
      </w:pPr>
      <w:r>
        <w:t xml:space="preserve">Bahá’u’lláh also allowed a person who desired to conduct pilgrimage, but was unable to, for Himself to fulfill the pilgrimage requirement.</w:t>
      </w:r>
      <w:r>
        <w:rPr>
          <w:rStyle w:val="FootnoteReference"/>
        </w:rPr>
        <w:footnoteReference w:id="437"/>
      </w:r>
      <w:r>
        <w:t xml:space="preserve"> </w:t>
      </w:r>
      <w:r>
        <w:t xml:space="preserve">Today, visiting the Sacred House is not fully possible. Both houses no longer stand and the land is used for other purposes. However, pilgrimage is still partially possible. I have not done so yet, but it is my hope to visit one of the locations. In the tablets Bahá’u’lláh revealed for pilgrimage, the Súríy-i-Hajj I (Shíráz) and II (Baghdád), there are prayers and acts one can take leading up to arriving at the location where the Houses stood. If I am unable to, I do hope that I may do so in a dream or in some other meditative state. What would make a journey feel like devotion rather than tourism for you, even if no one else understood it?</w:t>
      </w:r>
    </w:p>
    <w:p>
      <w:pPr>
        <w:pStyle w:val="BodyText"/>
      </w:pPr>
      <w:r>
        <w:rPr>
          <w:iCs/>
          <w:i/>
        </w:rPr>
        <w:t xml:space="preserve">Reflection: When devotion becomes public through shared space, what protects it from turning into performance?</w:t>
      </w:r>
    </w:p>
    <w:p>
      <w:pPr>
        <w:pStyle w:val="BodyText"/>
      </w:pPr>
      <w:r>
        <w:t xml:space="preserve">From sacred spaces and sacred journeys, we now turn to sacred resources, where love becomes accountable through the purification of wealth.</w:t>
      </w:r>
    </w:p>
    <w:bookmarkEnd w:id="438"/>
    <w:bookmarkEnd w:id="439"/>
    <w:bookmarkStart w:id="458" w:name="honor-god-with-sacred-resources"/>
    <w:p>
      <w:pPr>
        <w:pStyle w:val="Heading2"/>
      </w:pPr>
      <w:r>
        <w:t xml:space="preserve">12.3 Honor God With Sacred Resources</w:t>
      </w:r>
    </w:p>
    <w:bookmarkStart w:id="449" w:name="rights-of-god-ḥuqúqulláh"/>
    <w:p>
      <w:pPr>
        <w:pStyle w:val="Heading3"/>
      </w:pPr>
      <w:r>
        <w:t xml:space="preserve">12.3.1 Rights of God (Ḥuqúqu’lláh)</w:t>
      </w:r>
    </w:p>
    <w:p>
      <w:pPr>
        <w:pStyle w:val="FirstParagraph"/>
      </w:pPr>
      <w:r>
        <w:t xml:space="preserve">The Rights of God, also known as Ḥuqúqu’lláh, is a way to honor God through the purification of wealth.</w:t>
      </w:r>
      <w:r>
        <w:rPr>
          <w:rStyle w:val="FootnoteReference"/>
        </w:rPr>
        <w:footnoteReference w:id="440"/>
      </w:r>
      <w:r>
        <w:t xml:space="preserve"> </w:t>
      </w:r>
      <w:r>
        <w:t xml:space="preserve">The Báb had initially introduced the Rights of God in Váḥid 5, Gate 19 of the Bayán. In the Bayán,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441"/>
      </w:r>
    </w:p>
    <w:p>
      <w:pPr>
        <w:pStyle w:val="BodyText"/>
      </w:pPr>
      <w:r>
        <w:t xml:space="preserve">The Rights of God is paid solely from wealth, not income. If one’s wealth reaches 100 mithqáls (425g) of gold, 19 mithqáls (80.75g) thereof belong to God. Basically, it is a 19% contribution. In a letter to Jináb-i-Samandar,</w:t>
      </w:r>
      <w:r>
        <w:rPr>
          <w:rStyle w:val="FootnoteReference"/>
        </w:rPr>
        <w:footnoteReference w:id="442"/>
      </w:r>
      <w:r>
        <w:t xml:space="preserve"> </w:t>
      </w:r>
      <w:r>
        <w:t xml:space="preserve">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443"/>
      </w:r>
    </w:p>
    <w:p>
      <w:pPr>
        <w:pStyle w:val="BodyText"/>
      </w:pPr>
      <w:r>
        <w:t xml:space="preserve">Bahá’u’lláh would use the Rights of God to take care of the affairs of the believers, as these things require money. These affairs included teaching,</w:t>
      </w:r>
      <w:r>
        <w:rPr>
          <w:rStyle w:val="FootnoteReference"/>
        </w:rPr>
        <w:footnoteReference w:id="444"/>
      </w:r>
      <w:r>
        <w:t xml:space="preserve"> </w:t>
      </w:r>
      <w:r>
        <w:t xml:space="preserve">taking care of the poor,</w:t>
      </w:r>
      <w:r>
        <w:rPr>
          <w:rStyle w:val="FootnoteReference"/>
        </w:rPr>
        <w:footnoteReference w:id="445"/>
      </w:r>
      <w:r>
        <w:t xml:space="preserve"> </w:t>
      </w:r>
      <w:r>
        <w:t xml:space="preserve">prisoners, travel, and other affairs. He had instructed an unspecified woman to give two-thirds of the Ḥuqúqu’lláh for good works, and one-third to the Holy Court, which was to Bahá’u’lláh.</w:t>
      </w:r>
      <w:r>
        <w:rPr>
          <w:rStyle w:val="FootnoteReference"/>
        </w:rPr>
        <w:footnoteReference w:id="446"/>
      </w:r>
      <w:r>
        <w:t xml:space="preserve"> </w:t>
      </w:r>
      <w:r>
        <w:t xml:space="preserve">In another letter, He says all of it can be paid for charity.</w:t>
      </w:r>
      <w:r>
        <w:rPr>
          <w:rStyle w:val="FootnoteReference"/>
        </w:rPr>
        <w:footnoteReference w:id="447"/>
      </w:r>
      <w:r>
        <w:t xml:space="preserve"> </w:t>
      </w:r>
      <w:r>
        <w:t xml:space="preserve">It seems there was no rigid methodology in how Ḥuqúqu’lláh was used. The Kitáb-i-Aqdas also specifies that endowments can be used for elevated places, which could be the two Houses to be established in every city, such as the Mashriqu’l-Adhkár and the House of Justice.</w:t>
      </w:r>
    </w:p>
    <w:p>
      <w:pPr>
        <w:pStyle w:val="BodyText"/>
      </w:pPr>
      <w:r>
        <w:t xml:space="preserve">For those who collected the Rights of God, He warned them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448"/>
      </w:r>
    </w:p>
    <w:p>
      <w:pPr>
        <w:pStyle w:val="BodyText"/>
      </w:pPr>
      <w:r>
        <w:t xml:space="preserve">This way to honor God is a pathway to honor the rest of the People of Bahá, as it is the primary way to be able to afford the care of each other and the care of the Cause of God. When money is framed as</w:t>
      </w:r>
      <w:r>
        <w:t xml:space="preserve"> </w:t>
      </w:r>
      <w:r>
        <w:t xml:space="preserve">“</w:t>
      </w:r>
      <w:r>
        <w:t xml:space="preserve">trust</w:t>
      </w:r>
      <w:r>
        <w:t xml:space="preserve">”</w:t>
      </w:r>
      <w:r>
        <w:t xml:space="preserve"> </w:t>
      </w:r>
      <w:r>
        <w:t xml:space="preserve">rather than</w:t>
      </w:r>
      <w:r>
        <w:t xml:space="preserve"> </w:t>
      </w:r>
      <w:r>
        <w:t xml:space="preserve">“</w:t>
      </w:r>
      <w:r>
        <w:t xml:space="preserve">possession,</w:t>
      </w:r>
      <w:r>
        <w:t xml:space="preserve">”</w:t>
      </w:r>
      <w:r>
        <w:t xml:space="preserve"> </w:t>
      </w:r>
      <w:r>
        <w:t xml:space="preserve">what changes in your sense of responsibility?</w:t>
      </w:r>
    </w:p>
    <w:bookmarkEnd w:id="449"/>
    <w:bookmarkStart w:id="451" w:name="engaging-in-an-occupation"/>
    <w:p>
      <w:pPr>
        <w:pStyle w:val="Heading3"/>
      </w:pPr>
      <w:r>
        <w:t xml:space="preserve">12.3.2 Engaging in an Occupation</w:t>
      </w:r>
    </w:p>
    <w:p>
      <w:pPr>
        <w:pStyle w:val="FirstParagraph"/>
      </w:pPr>
      <w:r>
        <w:t xml:space="preserve">Related to the Rights of God, Bahá’u’lláh wants us to honor God through engaging in an occupation.</w:t>
      </w:r>
      <w:r>
        <w:rPr>
          <w:rStyle w:val="FootnoteReference"/>
        </w:rPr>
        <w:footnoteReference w:id="450"/>
      </w:r>
      <w:r>
        <w:t xml:space="preserve"> </w:t>
      </w:r>
      <w:r>
        <w:t xml:space="preserve">Working is equivalent to worship. The purpose is to engage in activities which benefit yourself and others. The purpose is not necessarily to gain wealth solely for your own pleasures and comforts. He says in BH10890,</w:t>
      </w:r>
      <w:r>
        <w:t xml:space="preserve"> </w:t>
      </w:r>
      <w:r>
        <w:t xml:space="preserve">“</w:t>
      </w:r>
      <w:r>
        <w:t xml:space="preserve">Blessed is he who bears burdens but causes none to bear his own. Let him engage in craft and profession. A single coin earned thereby is, in the sight of God, more beloved than the treasure that is gathered unrightfully and made ready.</w:t>
      </w:r>
      <w:r>
        <w:t xml:space="preserve">”</w:t>
      </w:r>
    </w:p>
    <w:p>
      <w:pPr>
        <w:pStyle w:val="BodyText"/>
      </w:pPr>
      <w:r>
        <w:t xml:space="preserve">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that you do not force another to take financial responsibility for you when you are able to work.</w:t>
      </w:r>
    </w:p>
    <w:p>
      <w:pPr>
        <w:pStyle w:val="BodyText"/>
      </w:pPr>
      <w:r>
        <w:t xml:space="preserve">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bookmarkEnd w:id="451"/>
    <w:bookmarkStart w:id="457" w:name="zakát"/>
    <w:p>
      <w:pPr>
        <w:pStyle w:val="Heading3"/>
      </w:pPr>
      <w:r>
        <w:t xml:space="preserve">12.3.3 Zakát</w:t>
      </w:r>
    </w:p>
    <w:p>
      <w:pPr>
        <w:pStyle w:val="FirstParagraph"/>
      </w:pPr>
      <w:r>
        <w:t xml:space="preserve">The Kitáb-i-Aqdas enjoins upon us the payment of Zakát for whatsoever is beneath the value of Ḥuqúqu’lláh.</w:t>
      </w:r>
      <w:r>
        <w:rPr>
          <w:rStyle w:val="FootnoteReference"/>
        </w:rPr>
        <w:footnoteReference w:id="452"/>
      </w:r>
      <w:r>
        <w:t xml:space="preserve"> </w:t>
      </w:r>
      <w:r>
        <w:t xml:space="preserve">In 1873, when the Kitáb-i-Aqdas was revealed, the minimum was only going to be specified if God wills. A few times, Bahá’u’lláh tells the believers to follow the Zakát teachings of the Qur’an.</w:t>
      </w:r>
      <w:r>
        <w:rPr>
          <w:rStyle w:val="FootnoteReference"/>
        </w:rPr>
        <w:footnoteReference w:id="453"/>
      </w:r>
    </w:p>
    <w:p>
      <w:pPr>
        <w:pStyle w:val="BlockText"/>
      </w:pPr>
      <w:r>
        <w:t xml:space="preserve">“</w:t>
      </w:r>
      <w:r>
        <w:t xml:space="preserve">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t xml:space="preserve">”</w:t>
      </w:r>
      <w:r>
        <w:rPr>
          <w:rStyle w:val="FootnoteReference"/>
        </w:rPr>
        <w:footnoteReference w:id="454"/>
      </w:r>
    </w:p>
    <w:p>
      <w:pPr>
        <w:pStyle w:val="FirstParagraph"/>
      </w:pPr>
      <w:r>
        <w:t xml:space="preserve">The Qur’an does not specify an exact amount, but it states in multiple places to be regular in charity,</w:t>
      </w:r>
      <w:r>
        <w:rPr>
          <w:rStyle w:val="FootnoteReference"/>
        </w:rPr>
        <w:footnoteReference w:id="455"/>
      </w:r>
      <w:r>
        <w:t xml:space="preserve"> </w:t>
      </w:r>
      <w:r>
        <w:t xml:space="preserve">or who are active in deeds of charity.</w:t>
      </w:r>
      <w:r>
        <w:rPr>
          <w:rStyle w:val="FootnoteReference"/>
        </w:rPr>
        <w:footnoteReference w:id="456"/>
      </w:r>
      <w:r>
        <w:t xml:space="preserve"> </w:t>
      </w:r>
      <w:r>
        <w:t xml:space="preserve">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pPr>
        <w:pStyle w:val="BodyText"/>
      </w:pPr>
      <w:r>
        <w:t xml:space="preserve">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pPr>
        <w:pStyle w:val="BodyText"/>
      </w:pPr>
      <w:r>
        <w:rPr>
          <w:iCs/>
          <w:i/>
        </w:rPr>
        <w:t xml:space="preserve">Reflection: If wealth can be purified through love, what would it mean for generosity to become a habit rather than an exception?</w:t>
      </w:r>
    </w:p>
    <w:p>
      <w:pPr>
        <w:pStyle w:val="BodyText"/>
      </w:pPr>
      <w:r>
        <w:t xml:space="preserve">With sacred resources in view, we now turn to sacred time, where regularity becomes a shared discipline that forms a community.</w:t>
      </w:r>
    </w:p>
    <w:bookmarkEnd w:id="457"/>
    <w:bookmarkEnd w:id="458"/>
    <w:bookmarkStart w:id="480" w:name="Xfc0c147314aafad13e6aec57d54df2009434687"/>
    <w:p>
      <w:pPr>
        <w:pStyle w:val="Heading2"/>
      </w:pPr>
      <w:r>
        <w:t xml:space="preserve">12.4 Honoring God in Sacred Time - The Badí‘ Calendar</w:t>
      </w:r>
    </w:p>
    <w:p>
      <w:pPr>
        <w:pStyle w:val="FirstParagraph"/>
      </w:pPr>
      <w:r>
        <w:t xml:space="preserve">The Badí‘ calendar was first introduced by the Báb in the Book of the Reckoning. In it, He creates a system of divine time with 19 months of 19 days. When one Váḥid is multiplied by a Váḥid,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Bayán had existed for one Váḥid. Note from</w:t>
      </w:r>
      <w:r>
        <w:t xml:space="preserve"> </w:t>
      </w:r>
      <w:r>
        <w:rPr>
          <w:highlight w:val="yellow"/>
        </w:rPr>
        <w:t xml:space="preserve">Chapter 5</w:t>
      </w:r>
      <w:r>
        <w:t xml:space="preserve">, the Kitáb-i-Aqdas was revealed 19 years after the Bayán, completing the Bayán together as one Unity. Bahá’u’lláh’s life on Earth ended after another 19 years were completed. Once 19 Váḥid cycles have been completed, 1 Kull-i-Shay has been completed (361 years).</w:t>
      </w:r>
    </w:p>
    <w:p>
      <w:pPr>
        <w:pStyle w:val="BodyText"/>
      </w:pPr>
      <w:r>
        <w:t xml:space="preserve">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459"/>
      </w:r>
      <w:r>
        <w:t xml:space="preserve"> </w:t>
      </w:r>
      <w:r>
        <w:t xml:space="preserve">These elements compose not only each aspect of us, but also the spirits which give us life.</w:t>
      </w:r>
      <w:r>
        <w:rPr>
          <w:rStyle w:val="FootnoteReference"/>
        </w:rPr>
        <w:footnoteReference w:id="460"/>
      </w:r>
    </w:p>
    <w:p>
      <w:pPr>
        <w:pStyle w:val="BodyText"/>
      </w:pPr>
      <w:r>
        <w:t xml:space="preserve">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pPr>
        <w:pStyle w:val="BodyText"/>
      </w:pPr>
      <w:r>
        <w:t xml:space="preserve">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pPr>
        <w:pStyle w:val="BodyText"/>
      </w:pPr>
      <w:r>
        <w:t xml:space="preserve">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what helped us grow, is purified through the waters of oneness.</w:t>
      </w:r>
    </w:p>
    <w:p>
      <w:pPr>
        <w:pStyle w:val="BodyText"/>
      </w:pPr>
      <w:r>
        <w:t xml:space="preserve">Dust is assigned to the final six months (Qawl, Masá’il, Sharaf, Sulṭán, Mulk,</w:t>
      </w:r>
      <w:r>
        <w:t xml:space="preserve"> </w:t>
      </w:r>
      <w:r>
        <w:t xml:space="preserve">‘</w:t>
      </w:r>
      <w:r>
        <w:t xml:space="preserve">Alá</w:t>
      </w:r>
      <w:r>
        <w:t xml:space="preserve">’</w:t>
      </w:r>
      <w:r>
        <w:t xml:space="preserve">). The dust is where all that is created through fire, air, and water is preserved. From dust fruit is harvested, while the stems and leaves prepare to descend from the tree and return to the soil. The excess of all which was grown is shed, leaving only that which has matured. The fruit magnifies the names and attributes the soul has grown within it, ready to be elevated as what we cannot carry over passes away with death.</w:t>
      </w:r>
    </w:p>
    <w:p>
      <w:pPr>
        <w:pStyle w:val="BodyText"/>
      </w:pPr>
      <w:r>
        <w:rPr>
          <w:iCs/>
          <w:i/>
        </w:rPr>
        <w:t xml:space="preserve">Reflection: If time itself can be sacred, what would it mean for your year to have a spiritual pulse rather than only deadlines?</w:t>
      </w:r>
    </w:p>
    <w:p>
      <w:pPr>
        <w:pStyle w:val="BodyText"/>
      </w:pPr>
      <w:r>
        <w:t xml:space="preserve">With the calendar as our frame, we move through key days and seasons of sacred time, beginning with the year’s first day, Naw-Rúz.</w:t>
      </w:r>
    </w:p>
    <w:bookmarkStart w:id="466" w:name="naw-rúz-1-bahá"/>
    <w:p>
      <w:pPr>
        <w:pStyle w:val="Heading3"/>
      </w:pPr>
      <w:r>
        <w:t xml:space="preserve">12.4.1 Naw-Rúz, 1 Bahá’</w:t>
      </w:r>
    </w:p>
    <w:p>
      <w:pPr>
        <w:pStyle w:val="FirstParagraph"/>
      </w:pPr>
      <w:r>
        <w:t xml:space="preserve">The Badí‘ calendar starts with the festival of Naw-Rúz.</w:t>
      </w:r>
      <w:r>
        <w:rPr>
          <w:rStyle w:val="FootnoteReference"/>
        </w:rPr>
        <w:footnoteReference w:id="461"/>
      </w:r>
      <w:r>
        <w:t xml:space="preserve"> </w:t>
      </w:r>
      <w:r>
        <w:t xml:space="preserve">This holiday dates back to Zoroastrian times and has been a long-standing cultural norm for Persia. The day has now been elevated as the first day in the sacred cycle of time. 1 Bahá’, when we overlap the names of the months with the days, could be called the Bahá’ of Bahá’, or the Splendor of All Splendor. Bahá’u’lláh says,</w:t>
      </w:r>
      <w:r>
        <w:t xml:space="preserve"> </w:t>
      </w:r>
      <w:r>
        <w:t xml:space="preserve">“</w:t>
      </w:r>
      <w:r>
        <w:t xml:space="preserve">in it the breath of life passes over all created things. Blessed is the one who encounters it with spirit and joy, for we bear witness that they are among the victorious.</w:t>
      </w:r>
      <w:r>
        <w:t xml:space="preserve">”</w:t>
      </w:r>
      <w:r>
        <w:rPr>
          <w:rStyle w:val="FootnoteReference"/>
        </w:rPr>
        <w:footnoteReference w:id="462"/>
      </w:r>
      <w:r>
        <w:t xml:space="preserve"> </w:t>
      </w:r>
      <w:r>
        <w:t xml:space="preserve">The Báb called it the Day of God.</w:t>
      </w:r>
      <w:r>
        <w:rPr>
          <w:rStyle w:val="FootnoteReference"/>
        </w:rPr>
        <w:footnoteReference w:id="463"/>
      </w:r>
    </w:p>
    <w:p>
      <w:pPr>
        <w:pStyle w:val="BodyText"/>
      </w:pPr>
      <w:r>
        <w:t xml:space="preserve">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pPr>
        <w:pStyle w:val="BodyText"/>
      </w:pPr>
      <w:r>
        <w:t xml:space="preserve">Naw-Rúz is a festival for those who observed the fast out of love for God.</w:t>
      </w:r>
      <w:r>
        <w:rPr>
          <w:rStyle w:val="FootnoteReference"/>
        </w:rPr>
        <w:footnoteReference w:id="464"/>
      </w:r>
      <w:r>
        <w:t xml:space="preserve"> </w:t>
      </w:r>
      <w:r>
        <w:t xml:space="preserve">The festival begins at sunrise.</w:t>
      </w:r>
      <w:r>
        <w:rPr>
          <w:rStyle w:val="FootnoteReference"/>
        </w:rPr>
        <w:footnoteReference w:id="465"/>
      </w:r>
      <w:r>
        <w:t xml:space="preserve"> </w:t>
      </w:r>
      <w:r>
        <w:t xml:space="preserve">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bookmarkEnd w:id="466"/>
    <w:bookmarkStart w:id="470" w:name="the-riḍván-festival-13-jalál-to-5-jamál"/>
    <w:p>
      <w:pPr>
        <w:pStyle w:val="Heading3"/>
      </w:pPr>
      <w:r>
        <w:t xml:space="preserve">12.4.2 The Riḍván Festival, 13 Jalál to 5 Jamál</w:t>
      </w:r>
    </w:p>
    <w:p>
      <w:pPr>
        <w:pStyle w:val="FirstParagraph"/>
      </w:pPr>
      <w:r>
        <w:t xml:space="preserve">Riḍván is</w:t>
      </w:r>
      <w:r>
        <w:t xml:space="preserve"> </w:t>
      </w:r>
      <w:r>
        <w:t xml:space="preserve">“</w:t>
      </w:r>
      <w:r>
        <w:t xml:space="preserve">the Most Great Festival, which is the king of festivals, being those days when the Ancient Beauty emerged from the Most Great House and illumined the Najibiyyih Garden with the light of His countenance. This is also called the Festival of Riḍván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t xml:space="preserve">”</w:t>
      </w:r>
      <w:r>
        <w:rPr>
          <w:rStyle w:val="FootnoteReference"/>
        </w:rPr>
        <w:footnoteReference w:id="467"/>
      </w:r>
      <w:r>
        <w:t xml:space="preserve"> </w:t>
      </w:r>
      <w:r>
        <w:t xml:space="preserve">The days where work is prohibited are 13 Jalál, 2 Jamál, and 5 Jamál.</w:t>
      </w:r>
    </w:p>
    <w:p>
      <w:pPr>
        <w:pStyle w:val="BodyText"/>
      </w:pPr>
      <w:r>
        <w:t xml:space="preserve">Bahá’u’lláh manifested the most beautiful names and the highest attributes. All things have been immersed in the ocean of purity from the 1st day of Riḍván.</w:t>
      </w:r>
      <w:r>
        <w:rPr>
          <w:rStyle w:val="FootnoteReference"/>
        </w:rPr>
        <w:footnoteReference w:id="468"/>
      </w:r>
      <w:r>
        <w:t xml:space="preserve"> </w:t>
      </w:r>
      <w:r>
        <w:t xml:space="preserve">It is a bounty so that you may associate with the followers of other religions and proclaim the Cause of your Lord. It is the crown of deeds. It is a period characterized by</w:t>
      </w:r>
      <w:r>
        <w:t xml:space="preserve"> </w:t>
      </w:r>
      <w:r>
        <w:t xml:space="preserve">“</w:t>
      </w:r>
      <w:r>
        <w:t xml:space="preserve">boundless joy, gladness, and delight.</w:t>
      </w:r>
      <w:r>
        <w:t xml:space="preserve">”</w:t>
      </w:r>
      <w:r>
        <w:rPr>
          <w:rStyle w:val="FootnoteReference"/>
        </w:rPr>
        <w:footnoteReference w:id="469"/>
      </w:r>
    </w:p>
    <w:p>
      <w:pPr>
        <w:pStyle w:val="BodyText"/>
      </w:pPr>
      <w:r>
        <w:t xml:space="preserve">It appears this festival’s focus would be to proclaim the Cause to the followers of other religions. Here are some possible ideas to observe Riḍván.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Riḍván Festival with boundless joy?</w:t>
      </w:r>
    </w:p>
    <w:bookmarkEnd w:id="470"/>
    <w:bookmarkStart w:id="473" w:name="ayyám-i-há-days-of-giving"/>
    <w:p>
      <w:pPr>
        <w:pStyle w:val="Heading3"/>
      </w:pPr>
      <w:r>
        <w:t xml:space="preserve">12.4.3 Ayyám-i-Há (Days of Giving)</w:t>
      </w:r>
    </w:p>
    <w:p>
      <w:pPr>
        <w:pStyle w:val="FirstParagraph"/>
      </w:pPr>
      <w:r>
        <w:t xml:space="preserve">Ayyám-i-Há are the intercalary days, which are not bound by the limits of the year and its months. Most years are 4 days of Há, and on leap years, there are 5. They are considered the days of giving.</w:t>
      </w:r>
      <w:r>
        <w:rPr>
          <w:rStyle w:val="FootnoteReference"/>
        </w:rPr>
        <w:footnoteReference w:id="471"/>
      </w:r>
      <w:r>
        <w:t xml:space="preserve"> </w:t>
      </w:r>
      <w:r>
        <w:t xml:space="preserve">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w:t>
      </w:r>
      <w:r>
        <w:t xml:space="preserve"> </w:t>
      </w:r>
      <w:r>
        <w:t xml:space="preserve">“</w:t>
      </w:r>
      <w:r>
        <w:t xml:space="preserve">Ba.</w:t>
      </w:r>
      <w:r>
        <w:t xml:space="preserve">”</w:t>
      </w:r>
      <w:r>
        <w:t xml:space="preserve"> </w:t>
      </w:r>
      <w:r>
        <w:t xml:space="preserve">These days are like a day of sacrifice, where creation itself is completed.</w:t>
      </w:r>
      <w:r>
        <w:rPr>
          <w:rStyle w:val="FootnoteReference"/>
        </w:rPr>
        <w:footnoteReference w:id="472"/>
      </w:r>
    </w:p>
    <w:p>
      <w:pPr>
        <w:pStyle w:val="BodyText"/>
      </w:pPr>
      <w:r>
        <w:t xml:space="preserve">I feel the placement of the Days of Há after the month of Mulk is highly intentional given the purpose of the Badí‘ calendar. Mulk means dominion and is to symbolize the period when we consolidate the spiritual elements within our earthly realm. These spiritual elements are a bounty, as much as what we earn through our occupations are also a bounty. If Mulk is for consolidation, the Days of Há are for giving the excess with joy. This giving prepares us for the detachment from the earthly means we express through the fast immediately after the Days of Há.</w:t>
      </w:r>
    </w:p>
    <w:p>
      <w:pPr>
        <w:pStyle w:val="BodyText"/>
      </w:pPr>
      <w:r>
        <w:t xml:space="preserve">This would not have to be the only times to give the Rights of God and Zakát, but this could be a great time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fruitful for those in need. It’s a great time to take care of all the People of Bahá as well as those who are not. Ayyám-i-Há is not considered a festival by Bahá’u’lláh. What do you most resist giving away, and what do you most need to give away to be freer?</w:t>
      </w:r>
    </w:p>
    <w:bookmarkEnd w:id="473"/>
    <w:bookmarkStart w:id="477" w:name="the-fast-the-month-of-alá"/>
    <w:p>
      <w:pPr>
        <w:pStyle w:val="Heading3"/>
      </w:pPr>
      <w:r>
        <w:t xml:space="preserve">12.4.4 The Fast, the Month of</w:t>
      </w:r>
      <w:r>
        <w:t xml:space="preserve"> </w:t>
      </w:r>
      <w:r>
        <w:t xml:space="preserve">‘</w:t>
      </w:r>
      <w:r>
        <w:t xml:space="preserve">Alá</w:t>
      </w:r>
      <w:r>
        <w:t xml:space="preserve">’</w:t>
      </w:r>
    </w:p>
    <w:p>
      <w:pPr>
        <w:pStyle w:val="FirstParagraph"/>
      </w:pPr>
      <w:r>
        <w:t xml:space="preserve">The fast is every year for the entire month of</w:t>
      </w:r>
      <w:r>
        <w:t xml:space="preserve"> </w:t>
      </w:r>
      <w:r>
        <w:t xml:space="preserve">‘</w:t>
      </w:r>
      <w:r>
        <w:t xml:space="preserve">Alá</w:t>
      </w:r>
      <w:r>
        <w:t xml:space="preserve">’</w:t>
      </w:r>
      <w:r>
        <w:t xml:space="preserve">.</w:t>
      </w:r>
      <w:r>
        <w:rPr>
          <w:rStyle w:val="FootnoteReference"/>
        </w:rPr>
        <w:footnoteReference w:id="474"/>
      </w:r>
      <w:r>
        <w:t xml:space="preserve"> </w:t>
      </w:r>
      <w:r>
        <w:t xml:space="preserve">The People of Bahá are to refrain from eating and drinking from sunrise until sunset. Also forbidden are desires, which the Arabic Bayán includes as intimate relations with your spouse. The fast is required for any person who has attained the age of maturity for spiritual practice (age 11),</w:t>
      </w:r>
      <w:r>
        <w:rPr>
          <w:rStyle w:val="FootnoteReference"/>
        </w:rPr>
        <w:footnoteReference w:id="475"/>
      </w:r>
      <w:r>
        <w:t xml:space="preserve"> </w:t>
      </w:r>
      <w:r>
        <w:t xml:space="preserve">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pPr>
        <w:pStyle w:val="BodyText"/>
      </w:pPr>
      <w:r>
        <w:t xml:space="preserve">With the fast coming immediately after the Days of Há and prior to Naw-Rúz, it is the culmination of a year of spiritual attainment and practice. The fast is a cause of refinement and reformation of souls.</w:t>
      </w:r>
      <w:r>
        <w:rPr>
          <w:rStyle w:val="FootnoteReference"/>
        </w:rPr>
        <w:footnoteReference w:id="476"/>
      </w:r>
      <w:r>
        <w:t xml:space="preserve"> </w:t>
      </w:r>
      <w:r>
        <w:t xml:space="preserve">When your body is restrained, what becomes louder, your ego or your soul?</w:t>
      </w:r>
    </w:p>
    <w:bookmarkEnd w:id="477"/>
    <w:bookmarkStart w:id="479" w:name="monthly-hospitality"/>
    <w:p>
      <w:pPr>
        <w:pStyle w:val="Heading3"/>
      </w:pPr>
      <w:r>
        <w:t xml:space="preserve">12.4.5 Monthly Hospitality</w:t>
      </w:r>
    </w:p>
    <w:p>
      <w:pPr>
        <w:pStyle w:val="FirstParagraph"/>
      </w:pPr>
      <w:r>
        <w:t xml:space="preserve">Every Badí‘ month, hospitality has been prescribed, even if it is only with water.</w:t>
      </w:r>
      <w:r>
        <w:rPr>
          <w:rStyle w:val="FootnoteReference"/>
        </w:rPr>
        <w:footnoteReference w:id="478"/>
      </w:r>
      <w:r>
        <w:t xml:space="preserve"> </w:t>
      </w:r>
      <w:r>
        <w:t xml:space="preserve">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pPr>
        <w:pStyle w:val="BodyText"/>
      </w:pPr>
      <w:r>
        <w:t xml:space="preserve">This is my personal perspective:</w:t>
      </w:r>
      <w:r>
        <w:t xml:space="preserve"> </w:t>
      </w:r>
      <w:r>
        <w:t xml:space="preserve">“</w:t>
      </w:r>
      <w:r>
        <w:t xml:space="preserve">My home is your home. In my home, I serve your needs. In my home, we are friends. In my home, we may serve the Cause of God. In my home, we are One.</w:t>
      </w:r>
      <w:r>
        <w:t xml:space="preserve">”</w:t>
      </w:r>
      <w:r>
        <w:t xml:space="preserve"> </w:t>
      </w:r>
      <w:r>
        <w:t xml:space="preserve">How does welcoming a guest to your home establish your home as a sacred space?</w:t>
      </w:r>
    </w:p>
    <w:p>
      <w:pPr>
        <w:pStyle w:val="BodyText"/>
      </w:pPr>
      <w:r>
        <w:t xml:space="preserve">Appendix D provides a condensed overview of each month, week, and year of the Badí‘ calendar.</w:t>
      </w:r>
    </w:p>
    <w:bookmarkEnd w:id="479"/>
    <w:bookmarkEnd w:id="480"/>
    <w:bookmarkStart w:id="483" w:name="holy-days-using-the-hijri-calendar"/>
    <w:p>
      <w:pPr>
        <w:pStyle w:val="Heading2"/>
      </w:pPr>
      <w:r>
        <w:t xml:space="preserve">12.5 Holy Days Using the Hijri Calendar</w:t>
      </w:r>
    </w:p>
    <w:p>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 calendar, despite its revelation. I believe the purpose is to tie in the significance of these dates prior to the existence of the Badí‘ calendar, as a transition from the revelation of the Qur’an towards the fulfillment of the Qur’an.</w:t>
      </w:r>
    </w:p>
    <w:bookmarkStart w:id="481" w:name="X6c2e4fc97a7d5c39e5f8b0005c183e4adf97cdc"/>
    <w:p>
      <w:pPr>
        <w:pStyle w:val="Heading3"/>
      </w:pPr>
      <w:r>
        <w:t xml:space="preserve">12.5.1 Declaration of the Báb - 5 Jamádiyu’l-Avval</w:t>
      </w:r>
    </w:p>
    <w:p>
      <w:pPr>
        <w:pStyle w:val="FirstParagraph"/>
      </w:pPr>
      <w:r>
        <w:t xml:space="preserve">This day in the Hijri year 1260 is when the Primal Point made His declaration to the Bábu’l-Báb (Mullá Ḥusayn). This correlates to the year 0 BE (May 23, 1844). This night and day are of supreme greatness before God. This day also marks the beginning of the Badí‘ calendar, with 0 BE being its first year.</w:t>
      </w:r>
    </w:p>
    <w:bookmarkEnd w:id="481"/>
    <w:bookmarkStart w:id="482" w:name="the-twin-birthdays---1-and-2-muḥarram"/>
    <w:p>
      <w:pPr>
        <w:pStyle w:val="Heading3"/>
      </w:pPr>
      <w:r>
        <w:t xml:space="preserve">12.5.2 The Twin Birthdays - 1 and 2 Muḥarram</w:t>
      </w:r>
    </w:p>
    <w:p>
      <w:pPr>
        <w:pStyle w:val="FirstParagraph"/>
      </w:pPr>
      <w:r>
        <w:t xml:space="preserve">The Primal Point was born on 1 Muḥarram 1235 and Bahá’u’lláh was born on 2 Muḥarram 1233. These two days are to be treated as one single festival. 1 Muḥarram is also the first day of the Hijri calendar. Muḥarram is considered in Islam to be a sacred month and is now associated with the birth of the most recent Dawnbreakers of Revelation, the Dawnbreakers who eventually made Naw-Rúz the new first day of the Badí‘ calendar.</w:t>
      </w:r>
    </w:p>
    <w:p>
      <w:pPr>
        <w:pStyle w:val="BodyText"/>
      </w:pPr>
      <w:r>
        <w:rPr>
          <w:iCs/>
          <w:i/>
        </w:rPr>
        <w:t xml:space="preserve">Reflection: What might be the purpose of holding devotion on two calendars at once, one inherited and one revealed?</w:t>
      </w:r>
    </w:p>
    <w:p>
      <w:pPr>
        <w:pStyle w:val="BodyText"/>
      </w:pPr>
      <w:r>
        <w:t xml:space="preserve">We now return to the story, illuminating how honoring God can shape the executor’s interior posture.</w:t>
      </w:r>
    </w:p>
    <w:bookmarkEnd w:id="482"/>
    <w:bookmarkEnd w:id="483"/>
    <w:bookmarkStart w:id="490" w:name="X1b28102cc167ce51fcdb9eadb65d34812420133"/>
    <w:p>
      <w:pPr>
        <w:pStyle w:val="Heading2"/>
      </w:pPr>
      <w:r>
        <w:t xml:space="preserve">12.6 Illuminations of The Unknown Sister - Emergent Virtues from Trustworthiness</w:t>
      </w:r>
    </w:p>
    <w:bookmarkStart w:id="484" w:name="justice"/>
    <w:p>
      <w:pPr>
        <w:pStyle w:val="Heading3"/>
      </w:pPr>
      <w:r>
        <w:t xml:space="preserve">12.6.1 Justice</w:t>
      </w:r>
    </w:p>
    <w:p>
      <w:pPr>
        <w:pStyle w:val="FirstParagraph"/>
      </w:pPr>
      <w:r>
        <w:t xml:space="preserve">Honoring God turns the inheritance from a private dilemma into a trust held before a higher standard. Justice illuminates the rights embedded in the will without letting familiarity decide whose claim feels real. It presses her to see that</w:t>
      </w:r>
      <w:r>
        <w:t xml:space="preserve"> </w:t>
      </w:r>
      <w:r>
        <w:t xml:space="preserve">“</w:t>
      </w:r>
      <w:r>
        <w:t xml:space="preserve">due</w:t>
      </w:r>
      <w:r>
        <w:t xml:space="preserve">”</w:t>
      </w:r>
      <w:r>
        <w:t xml:space="preserve"> </w:t>
      </w:r>
      <w:r>
        <w:t xml:space="preserve">is not measured by closeness alone, and that she must not let comfort or fear quietly tilt the scales. Justice does not yet require movement; it requires that her inner weighing be clean.</w:t>
      </w:r>
    </w:p>
    <w:bookmarkEnd w:id="484"/>
    <w:bookmarkStart w:id="485" w:name="mindfulness"/>
    <w:p>
      <w:pPr>
        <w:pStyle w:val="Heading3"/>
      </w:pPr>
      <w:r>
        <w:t xml:space="preserve">12.6.2 Mindfulness</w:t>
      </w:r>
    </w:p>
    <w:p>
      <w:pPr>
        <w:pStyle w:val="FirstParagraph"/>
      </w:pPr>
      <w:r>
        <w:t xml:space="preserve">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bookmarkEnd w:id="485"/>
    <w:bookmarkStart w:id="486" w:name="patience"/>
    <w:p>
      <w:pPr>
        <w:pStyle w:val="Heading3"/>
      </w:pPr>
      <w:r>
        <w:t xml:space="preserve">12.6.3 Patience</w:t>
      </w:r>
    </w:p>
    <w:p>
      <w:pPr>
        <w:pStyle w:val="FirstParagraph"/>
      </w:pPr>
      <w:r>
        <w:t xml:space="preserve">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bookmarkEnd w:id="486"/>
    <w:bookmarkStart w:id="487" w:name="repentance"/>
    <w:p>
      <w:pPr>
        <w:pStyle w:val="Heading3"/>
      </w:pPr>
      <w:r>
        <w:t xml:space="preserve">12.6.4 Repentance</w:t>
      </w:r>
    </w:p>
    <w:p>
      <w:pPr>
        <w:pStyle w:val="FirstParagraph"/>
      </w:pPr>
      <w:r>
        <w:t xml:space="preserve">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bookmarkEnd w:id="487"/>
    <w:bookmarkStart w:id="488" w:name="submission"/>
    <w:p>
      <w:pPr>
        <w:pStyle w:val="Heading3"/>
      </w:pPr>
      <w:r>
        <w:t xml:space="preserve">12.6.5 Submission</w:t>
      </w:r>
    </w:p>
    <w:p>
      <w:pPr>
        <w:pStyle w:val="FirstParagraph"/>
      </w:pPr>
      <w:r>
        <w:t xml:space="preserve">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bookmarkEnd w:id="488"/>
    <w:bookmarkStart w:id="489" w:name="trustworthiness-innate-virtue"/>
    <w:p>
      <w:pPr>
        <w:pStyle w:val="Heading3"/>
      </w:pPr>
      <w:r>
        <w:t xml:space="preserve">12.6.6 Trustworthiness (Innate Virtue)</w:t>
      </w:r>
    </w:p>
    <w:p>
      <w:pPr>
        <w:pStyle w:val="FirstParagraph"/>
      </w:pPr>
      <w:r>
        <w:t xml:space="preserve">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pPr>
        <w:pStyle w:val="BodyText"/>
      </w:pPr>
      <w:r>
        <w:rPr>
          <w:iCs/>
          <w:i/>
        </w:rPr>
        <w:t xml:space="preserve">Reflection: If God alone knew your motives, what would you still choose to do next?</w:t>
      </w:r>
    </w:p>
    <w:p>
      <w:pPr>
        <w:pStyle w:val="BodyText"/>
      </w:pPr>
      <w:r>
        <w:t xml:space="preserve">We close by gathering the practices together and pointing toward the final theme that completes Part 2.</w:t>
      </w:r>
    </w:p>
    <w:bookmarkEnd w:id="489"/>
    <w:bookmarkEnd w:id="490"/>
    <w:bookmarkStart w:id="491" w:name="conclusion-1"/>
    <w:p>
      <w:pPr>
        <w:pStyle w:val="Heading2"/>
      </w:pPr>
      <w:r>
        <w:t xml:space="preserve">12.7 Conclusion</w:t>
      </w:r>
    </w:p>
    <w:p>
      <w:pPr>
        <w:pStyle w:val="FirstParagraph"/>
      </w:pPr>
      <w:r>
        <w:t xml:space="preserve">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r>
        <w:br w:type="page"/>
      </w:r>
    </w:p>
    <w:bookmarkEnd w:id="491"/>
    <w:bookmarkEnd w:id="492"/>
    <w:bookmarkStart w:id="510" w:name="unity"/>
    <w:p>
      <w:pPr>
        <w:pStyle w:val="Heading1"/>
      </w:pPr>
      <w:r>
        <w:t xml:space="preserve">13. Unity</w:t>
      </w:r>
    </w:p>
    <w:bookmarkStart w:id="498" w:name="from-one-comes-many-from-many-comes-one"/>
    <w:p>
      <w:pPr>
        <w:pStyle w:val="Heading2"/>
      </w:pPr>
      <w:r>
        <w:t xml:space="preserve">13.1 From One Comes Many, From Many Comes One</w:t>
      </w:r>
    </w:p>
    <w:p>
      <w:pPr>
        <w:pStyle w:val="FirstParagraph"/>
      </w:pPr>
      <w:r>
        <w:t xml:space="preserve">Unity is a surprisingly complex idea. I sometimes feel unity is defined by many as meaning sameness, like an orchestra of clarinets each playing the same melody. It might seem good in theory, but in implementation, it is a highly unnatural arrangement that no person would pay to attend or critically acclaim.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pPr>
        <w:pStyle w:val="BodyText"/>
      </w:pPr>
      <w:r>
        <w:t xml:space="preserve">Instead, the Báb opens the Bayán with a different vision of unity derived from the name of God, the One:</w:t>
      </w:r>
    </w:p>
    <w:p>
      <w:pPr>
        <w:pStyle w:val="BlockText"/>
      </w:pPr>
      <w:r>
        <w:t xml:space="preserve">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493"/>
      </w:r>
    </w:p>
    <w:p>
      <w:pPr>
        <w:pStyle w:val="FirstParagraph"/>
      </w:pPr>
      <w:r>
        <w:t xml:space="preserve">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bookmarkStart w:id="494" w:name="unity-in-the-names-of-god"/>
    <w:p>
      <w:pPr>
        <w:pStyle w:val="Heading3"/>
      </w:pPr>
      <w:r>
        <w:t xml:space="preserve">13.1.1 Unity in the Names of God</w:t>
      </w:r>
    </w:p>
    <w:p>
      <w:pPr>
        <w:pStyle w:val="FirstParagraph"/>
      </w:pPr>
      <w:r>
        <w:t xml:space="preserve">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bookmarkEnd w:id="494"/>
    <w:bookmarkStart w:id="496" w:name="unity-in-the-worlds-of-god"/>
    <w:p>
      <w:pPr>
        <w:pStyle w:val="Heading3"/>
      </w:pPr>
      <w:r>
        <w:t xml:space="preserve">13.1.2 Unity in the Worlds of God</w:t>
      </w:r>
    </w:p>
    <w:p>
      <w:pPr>
        <w:pStyle w:val="FirstParagraph"/>
      </w:pPr>
      <w:r>
        <w:t xml:space="preserve">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495"/>
      </w:r>
      <w:r>
        <w:t xml:space="preserve"> </w:t>
      </w:r>
      <w:r>
        <w:t xml:space="preserve">All of these worlds eventually return to the point of Oneness.</w:t>
      </w:r>
    </w:p>
    <w:bookmarkEnd w:id="496"/>
    <w:bookmarkStart w:id="497" w:name="unity-in-the-spiritual-practices"/>
    <w:p>
      <w:pPr>
        <w:pStyle w:val="Heading3"/>
      </w:pPr>
      <w:r>
        <w:t xml:space="preserve">13.1.3 Unity in the Spiritual Practices</w:t>
      </w:r>
    </w:p>
    <w:p>
      <w:pPr>
        <w:pStyle w:val="FirstParagraph"/>
      </w:pPr>
      <w:r>
        <w:t xml:space="preserve">Throughout Chapters 8-12, we explored the various spiritual practices. From one soul come multiple pathways for the soul to be more fully expressed, while exploring not only the multiplicity of the names, attributes, and worlds of God, but also the essential unity underlying it all. From one God comes a multiplication of souls throughout the world, and from this multiplication of souls comes One. All souls return to God.</w:t>
      </w:r>
    </w:p>
    <w:p>
      <w:pPr>
        <w:pStyle w:val="BodyText"/>
      </w:pPr>
      <w:r>
        <w:t xml:space="preserve">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pPr>
        <w:pStyle w:val="BodyText"/>
      </w:pPr>
      <w:r>
        <w:rPr>
          <w:iCs/>
          <w:i/>
        </w:rPr>
        <w:t xml:space="preserve">Reflection: In what ways do you see oneness through many, or manyness from one?</w:t>
      </w:r>
    </w:p>
    <w:p>
      <w:pPr>
        <w:pStyle w:val="BodyText"/>
      </w:pPr>
      <w:r>
        <w:t xml:space="preserve">Now we will explore those interlocking lights.</w:t>
      </w:r>
    </w:p>
    <w:bookmarkEnd w:id="497"/>
    <w:bookmarkEnd w:id="498"/>
    <w:bookmarkStart w:id="499" w:name="unity-in-the-virtues"/>
    <w:p>
      <w:pPr>
        <w:pStyle w:val="Heading2"/>
      </w:pPr>
      <w:r>
        <w:t xml:space="preserve">13.2 Unity in the Virtues</w:t>
      </w:r>
    </w:p>
    <w:p>
      <w:pPr>
        <w:pStyle w:val="FirstParagraph"/>
      </w:pPr>
      <w:r>
        <w:t xml:space="preserve">We also explored several virtues. With God being the essence of all virtue, these virtues are the lights guiding each of us. For example, from the one light of trustworthiness can come multiple expressions of trustworthiness, and from these multiple expressions of trustworthiness can we return to the source of all virtue.</w:t>
      </w:r>
    </w:p>
    <w:p>
      <w:pPr>
        <w:pStyle w:val="BodyText"/>
      </w:pPr>
      <w:r>
        <w:t xml:space="preserve">All these virtues are like stars of a greater constellation. The constellation itself can be called Unity. When all the stars are within view, they are all interconnected and work as One. If one virtue shines too strongly, there is a risk that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pPr>
        <w:pStyle w:val="BodyText"/>
      </w:pPr>
      <w:r>
        <w:t xml:space="preserve">The shape of the constellation may be seen differently. One constellation may appear as Scorpio while to another, it may appear as Orion. These ways to interpret what we see can be limitless, as our experiences are unique, our souls are unique, and our place in the spiritual worlds may always be in a unique position. From these multitudes of constellations of unity comes a return to one, which is also unity. These constellations will be seen by others. These constellations are the evidence of sincere belief, being signs of the spirit of God for those who seek God.</w:t>
      </w:r>
    </w:p>
    <w:p>
      <w:pPr>
        <w:pStyle w:val="BodyText"/>
      </w:pPr>
      <w:r>
        <w:t xml:space="preserve">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pPr>
        <w:pStyle w:val="BodyText"/>
      </w:pPr>
      <w:r>
        <w:rPr>
          <w:iCs/>
          <w:i/>
        </w:rPr>
        <w:t xml:space="preserve">Reflection: What does your constellation of virtues look like? Do any shine brightly more than others? If so, why?</w:t>
      </w:r>
    </w:p>
    <w:p>
      <w:pPr>
        <w:pStyle w:val="BodyText"/>
      </w:pPr>
      <w:r>
        <w:t xml:space="preserve">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bookmarkEnd w:id="499"/>
    <w:bookmarkStart w:id="507" w:name="Xc14e3e8b03aec6edd20d28977855fb385d2372a"/>
    <w:p>
      <w:pPr>
        <w:pStyle w:val="Heading2"/>
      </w:pPr>
      <w:r>
        <w:t xml:space="preserve">13.3 Illuminations of The Unknown Sister: The Constellation of Unity</w:t>
      </w:r>
    </w:p>
    <w:p>
      <w:pPr>
        <w:pStyle w:val="FirstParagraph"/>
      </w:pPr>
      <w:r>
        <w:t xml:space="preserve">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pPr>
        <w:pStyle w:val="BodyText"/>
      </w:pPr>
      <w:r>
        <w:t xml:space="preserve">Unity is not only what we aim for. It is also what we can lose. The constellation fractures most easily when a single virtue becomes so luminous that it starts to behave like a sun. When that happens, the rest of the sky goes dark, even if we still call it light.</w:t>
      </w:r>
    </w:p>
    <w:bookmarkStart w:id="500" w:name="X787ed1db865a00ccbf706ea23ae3d37be50c988"/>
    <w:p>
      <w:pPr>
        <w:pStyle w:val="Heading3"/>
      </w:pPr>
      <w:r>
        <w:t xml:space="preserve">13.3.1 When the Constellation Fractures: 5 Examples</w:t>
      </w:r>
    </w:p>
    <w:p>
      <w:pPr>
        <w:pStyle w:val="FirstParagraph"/>
      </w:pPr>
      <w:r>
        <w:t xml:space="preserve">We will now explore the risks involved when we treat a virtue as an absolute destination, focusing so much on one virtue that we do not allow the other virtues to shine. A virtue as a destination can serve as an idol, distracting us from the total vision God counsels us to keep. Here are some examples of risks the executor of the will could face if a single virtue is potentially replacing God as our object of devotion.</w:t>
      </w:r>
    </w:p>
    <w:bookmarkEnd w:id="500"/>
    <w:bookmarkStart w:id="501" w:name="piety-as-an-idol"/>
    <w:p>
      <w:pPr>
        <w:pStyle w:val="Heading3"/>
      </w:pPr>
      <w:r>
        <w:t xml:space="preserve">13.3.2 Piety as an Idol</w:t>
      </w:r>
    </w:p>
    <w:p>
      <w:pPr>
        <w:pStyle w:val="FirstParagraph"/>
      </w:pPr>
      <w:r>
        <w:t xml:space="preserve">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w:t>
      </w:r>
      <w:r>
        <w:t xml:space="preserve"> </w:t>
      </w:r>
      <w:r>
        <w:t xml:space="preserve">“</w:t>
      </w:r>
      <w:r>
        <w:t xml:space="preserve">responsibility</w:t>
      </w:r>
      <w:r>
        <w:t xml:space="preserve">”</w:t>
      </w:r>
      <w:r>
        <w:t xml:space="preserve"> </w:t>
      </w:r>
      <w:r>
        <w:t xml:space="preserve">to avoid fully naming what has been revealed. Without courtesy, piety can become spiritually correct yet relationally blunt, honoring duties while failing to protect how others must receive them. Without loyalty, piety can become impersonal righteousness, so</w:t>
      </w:r>
      <w:r>
        <w:t xml:space="preserve"> </w:t>
      </w:r>
      <w:r>
        <w:t xml:space="preserve">“</w:t>
      </w:r>
      <w:r>
        <w:t xml:space="preserve">doing what is right</w:t>
      </w:r>
      <w:r>
        <w:t xml:space="preserve">”</w:t>
      </w:r>
      <w:r>
        <w:t xml:space="preserve"> </w:t>
      </w:r>
      <w:r>
        <w:t xml:space="preserve">loses the warmth of standing with those who will be affected. Without trustworthiness, piety risks becoming image or intention without follow-through, where devotion to duty is felt but cannot be depended upon.</w:t>
      </w:r>
    </w:p>
    <w:bookmarkEnd w:id="501"/>
    <w:bookmarkStart w:id="502" w:name="pure-truthfulness-as-an-idol"/>
    <w:p>
      <w:pPr>
        <w:pStyle w:val="Heading3"/>
      </w:pPr>
      <w:r>
        <w:t xml:space="preserve">13.3.3 Pure Truthfulness as an Idol</w:t>
      </w:r>
    </w:p>
    <w:p>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bookmarkEnd w:id="502"/>
    <w:bookmarkStart w:id="503" w:name="courtesy-as-an-idol"/>
    <w:p>
      <w:pPr>
        <w:pStyle w:val="Heading3"/>
      </w:pPr>
      <w:r>
        <w:t xml:space="preserve">13.3.4 Courtesy as an Idol</w:t>
      </w:r>
    </w:p>
    <w:p>
      <w:pPr>
        <w:pStyle w:val="FirstParagraph"/>
      </w:pPr>
      <w:r>
        <w:t xml:space="preserve">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bookmarkEnd w:id="503"/>
    <w:bookmarkStart w:id="504" w:name="loyalty-as-an-idol"/>
    <w:p>
      <w:pPr>
        <w:pStyle w:val="Heading3"/>
      </w:pPr>
      <w:r>
        <w:t xml:space="preserve">13.3.5 Loyalty as an Idol</w:t>
      </w:r>
    </w:p>
    <w:p>
      <w:pPr>
        <w:pStyle w:val="FirstParagraph"/>
      </w:pPr>
      <w:r>
        <w:t xml:space="preserve">Her brother remains steady, hands folded, offering a quiet pledge:</w:t>
      </w:r>
      <w:r>
        <w:t xml:space="preserve"> </w:t>
      </w:r>
      <w:r>
        <w:t xml:space="preserve">“</w:t>
      </w:r>
      <w:r>
        <w:t xml:space="preserve">I trust you; we will handle it.</w:t>
      </w:r>
      <w:r>
        <w:t xml:space="preserve">”</w:t>
      </w:r>
      <w:r>
        <w:t xml:space="preserve"> </w:t>
      </w:r>
      <w:r>
        <w:t xml:space="preserve">Loyalty takes the form of presence, nonintrusive, watchful, ready, 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w:t>
      </w:r>
      <w:r>
        <w:t xml:space="preserve"> </w:t>
      </w:r>
      <w:r>
        <w:t xml:space="preserve">“</w:t>
      </w:r>
      <w:r>
        <w:t xml:space="preserve">ours</w:t>
      </w:r>
      <w:r>
        <w:t xml:space="preserve">”</w:t>
      </w:r>
      <w:r>
        <w:t xml:space="preserve"> </w:t>
      </w:r>
      <w:r>
        <w:t xml:space="preserve">in a way that disregards the dignity of those newly implicated. Without trustworthiness, loyalty can become sentiment without endurance, pledged in feeling but unreliable when sustained costs begin.</w:t>
      </w:r>
    </w:p>
    <w:bookmarkEnd w:id="504"/>
    <w:bookmarkStart w:id="505" w:name="trustworthiness-as-an-idol"/>
    <w:p>
      <w:pPr>
        <w:pStyle w:val="Heading3"/>
      </w:pPr>
      <w:r>
        <w:t xml:space="preserve">13.3.6 Trustworthiness as an Idol</w:t>
      </w:r>
    </w:p>
    <w:p>
      <w:pPr>
        <w:pStyle w:val="FirstParagraph"/>
      </w:pPr>
      <w:r>
        <w:t xml:space="preserve">She aligns the pages, refolds them cleanly, returns them to the envelope, 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w:t>
      </w:r>
      <w:r>
        <w:t xml:space="preserve"> </w:t>
      </w:r>
      <w:r>
        <w:t xml:space="preserve">“</w:t>
      </w:r>
      <w:r>
        <w:t xml:space="preserve">handled</w:t>
      </w:r>
      <w:r>
        <w:t xml:space="preserve">”</w:t>
      </w:r>
      <w:r>
        <w:t xml:space="preserve"> </w:t>
      </w:r>
      <w:r>
        <w:t xml:space="preserve">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bookmarkEnd w:id="505"/>
    <w:bookmarkStart w:id="506" w:name="reflections-of-the-unknown-sister"/>
    <w:p>
      <w:pPr>
        <w:pStyle w:val="Heading3"/>
      </w:pPr>
      <w:r>
        <w:t xml:space="preserve">13.3.7 Reflections of the Unknown Sister</w:t>
      </w:r>
    </w:p>
    <w:p>
      <w:pPr>
        <w:pStyle w:val="FirstParagraph"/>
      </w:pPr>
      <w:r>
        <w:t xml:space="preserve">While we did not advance the plot of the story, you may have explored what is next for all characters involved. The constellation of virtues developed through spiritual practice leads to a profound sense of empathy for all involved, an awareness that each is on their own spiritual path intertwined with that of the executor of the will.</w:t>
      </w:r>
    </w:p>
    <w:p>
      <w:pPr>
        <w:pStyle w:val="BodyText"/>
      </w:pPr>
      <w:r>
        <w:rPr>
          <w:iCs/>
          <w:i/>
        </w:rPr>
        <w:t xml:space="preserve">Reflection: If you were any one of these characters, how would you proceed?</w:t>
      </w:r>
    </w:p>
    <w:p>
      <w:pPr>
        <w:pStyle w:val="BodyText"/>
      </w:pPr>
      <w:r>
        <w:t xml:space="preserve">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pPr>
        <w:pStyle w:val="BodyText"/>
      </w:pPr>
      <w:r>
        <w:t xml:space="preserve">These examples show why unity cannot be reduced to tone, consensus, or comfort. Unity is not achieved by avoiding tension, but by holding tension within a higher order. The Book is what names that order. Without revelation,</w:t>
      </w:r>
      <w:r>
        <w:t xml:space="preserve"> </w:t>
      </w:r>
      <w:r>
        <w:t xml:space="preserve">“</w:t>
      </w:r>
      <w:r>
        <w:t xml:space="preserve">unity</w:t>
      </w:r>
      <w:r>
        <w:t xml:space="preserve">”</w:t>
      </w:r>
      <w:r>
        <w:t xml:space="preserve"> </w:t>
      </w:r>
      <w:r>
        <w:t xml:space="preserve">becomes whatever the strongest voice needs it to mean. With revelation, unity becomes a path: not sameness, not coercion, but orientation to the One.</w:t>
      </w:r>
    </w:p>
    <w:bookmarkEnd w:id="506"/>
    <w:bookmarkEnd w:id="507"/>
    <w:bookmarkStart w:id="508" w:name="unity-in-the-kitáb-i-aqdas"/>
    <w:p>
      <w:pPr>
        <w:pStyle w:val="Heading2"/>
      </w:pPr>
      <w:r>
        <w:t xml:space="preserve">13.4 Unity in the Kitáb-i-Aqdas</w:t>
      </w:r>
    </w:p>
    <w:p>
      <w:pPr>
        <w:pStyle w:val="FirstParagraph"/>
      </w:pPr>
      <w:r>
        <w:t xml:space="preserve">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pPr>
        <w:pStyle w:val="BodyText"/>
      </w:pPr>
      <w:r>
        <w:t xml:space="preserve">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that oppresses the souls God desires to liberate.</w:t>
      </w:r>
    </w:p>
    <w:p>
      <w:pPr>
        <w:pStyle w:val="BodyText"/>
      </w:pPr>
      <w:r>
        <w:rPr>
          <w:iCs/>
          <w:i/>
        </w:rPr>
        <w:t xml:space="preserve">Reflection: If you claim belief, yet pick and choose what to obey, what then do you believe? Can one achieve unity ignoring the many which compose One?</w:t>
      </w:r>
    </w:p>
    <w:p>
      <w:pPr>
        <w:pStyle w:val="BodyText"/>
      </w:pPr>
      <w:r>
        <w:t xml:space="preserve">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bookmarkEnd w:id="508"/>
    <w:bookmarkStart w:id="509" w:name="a-transition-to-part-3"/>
    <w:p>
      <w:pPr>
        <w:pStyle w:val="Heading2"/>
      </w:pPr>
      <w:r>
        <w:t xml:space="preserve">13.5 A Transition to Part 3</w:t>
      </w:r>
    </w:p>
    <w:p>
      <w:pPr>
        <w:pStyle w:val="FirstParagraph"/>
      </w:pPr>
      <w:r>
        <w:t xml:space="preserve">Unity is not something we announce. It is something we become. The proof is not in our claims, but in what our lives can hold without breaking: difference without contempt, truth without cruelty, loyalty without blindness, justice without coldness, and reverence without denial. From One comes many, and from many comes one. If this is the pattern of God, then unity is not the flattening of souls, but the harmonizing of them, until the world can finally sound like what it was always meant to be. This leads us to Part 3, the rights and responsibilities that the Kitáb-i-Aqdas enjoins. They are the framework of how virtues become manifest in social life, social systems, and institutions we participate in. What good is virtue if it is only contained within?</w:t>
      </w:r>
    </w:p>
    <w:p>
      <w:r>
        <w:br w:type="page"/>
      </w:r>
    </w:p>
    <w:bookmarkEnd w:id="509"/>
    <w:bookmarkEnd w:id="510"/>
    <w:bookmarkStart w:id="558" w:name="from-birth-to-maturity"/>
    <w:p>
      <w:pPr>
        <w:pStyle w:val="Heading1"/>
      </w:pPr>
      <w:r>
        <w:t xml:space="preserve">14. From Birth to Maturity</w:t>
      </w:r>
    </w:p>
    <w:bookmarkStart w:id="513" w:name="X6ef2e907580b12e1ac2c19f62f9baa10285d52b"/>
    <w:p>
      <w:pPr>
        <w:pStyle w:val="Heading2"/>
      </w:pPr>
      <w:r>
        <w:t xml:space="preserve">14.1 Introduction: Rights Derived From God’s Authority</w:t>
      </w:r>
    </w:p>
    <w:p>
      <w:pPr>
        <w:pStyle w:val="FirstParagraph"/>
      </w:pPr>
      <w:r>
        <w:t xml:space="preserve">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that the Kitáb-i-Aqdas is a book of laws.</w:t>
      </w:r>
    </w:p>
    <w:p>
      <w:pPr>
        <w:pStyle w:val="BodyText"/>
      </w:pPr>
      <w:r>
        <w:t xml:space="preserve">Instead of approaching this from a perspective of saying</w:t>
      </w:r>
      <w:r>
        <w:t xml:space="preserve"> </w:t>
      </w:r>
      <w:r>
        <w:t xml:space="preserve">“</w:t>
      </w:r>
      <w:r>
        <w:t xml:space="preserve">do not do this, do not do that,</w:t>
      </w:r>
      <w:r>
        <w:t xml:space="preserve">”</w:t>
      </w:r>
      <w:r>
        <w:t xml:space="preserve"> </w:t>
      </w:r>
      <w:r>
        <w:t xml:space="preserve">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511"/>
      </w:r>
      <w:r>
        <w:t xml:space="preserve"> </w:t>
      </w:r>
      <w:r>
        <w:t xml:space="preserve">while also saying we must exceed the boundaries of self and desire.</w:t>
      </w:r>
      <w:r>
        <w:rPr>
          <w:rStyle w:val="FootnoteReference"/>
        </w:rPr>
        <w:footnoteReference w:id="512"/>
      </w:r>
      <w:r>
        <w:t xml:space="preserve"> </w:t>
      </w:r>
      <w:r>
        <w:t xml:space="preserve">There is this free space to operate in, where a person may do as they feel best. I imagine this free space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is a place for the beliefs and virtues to most fully express themselves. It is a space entrusted to us by God.</w:t>
      </w:r>
    </w:p>
    <w:p>
      <w:pPr>
        <w:pStyle w:val="BodyText"/>
      </w:pPr>
      <w:r>
        <w:t xml:space="preserve">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pPr>
        <w:pStyle w:val="BodyText"/>
      </w:pPr>
      <w:r>
        <w:t xml:space="preserve">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describe how we consult as trustees over that which we have responsibility for.</w:t>
      </w:r>
    </w:p>
    <w:p>
      <w:pPr>
        <w:pStyle w:val="BodyText"/>
      </w:pPr>
      <w:r>
        <w:t xml:space="preserve">This chapter will start with the rights of all people from conception throughout their life. No responsibilities will be addressed here, as babies, children, or others who have not attained maturity do not yet bear responsibilities in the faith of God.</w:t>
      </w:r>
    </w:p>
    <w:bookmarkEnd w:id="513"/>
    <w:bookmarkStart w:id="514" w:name="the-right-to-life"/>
    <w:p>
      <w:pPr>
        <w:pStyle w:val="Heading2"/>
      </w:pPr>
      <w:r>
        <w:t xml:space="preserve">14.2 The Right to Life</w:t>
      </w:r>
    </w:p>
    <w:p>
      <w:pPr>
        <w:pStyle w:val="FirstParagraph"/>
      </w:pPr>
      <w:r>
        <w:t xml:space="preserve">In Chapter 2,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pPr>
        <w:pStyle w:val="BodyText"/>
      </w:pPr>
      <w:r>
        <w:rPr>
          <w:iCs/>
          <w:i/>
        </w:rPr>
        <w:t xml:space="preserve">Reflection: What does it mean to treat life as inviolable before a person can speak?</w:t>
      </w:r>
    </w:p>
    <w:p>
      <w:pPr>
        <w:pStyle w:val="BodyText"/>
      </w:pPr>
      <w:r>
        <w:t xml:space="preserve">From that premise, identity becomes more than a label and becomes a sacred claim to personhood.</w:t>
      </w:r>
    </w:p>
    <w:bookmarkEnd w:id="514"/>
    <w:bookmarkStart w:id="515" w:name="the-right-to-identity"/>
    <w:p>
      <w:pPr>
        <w:pStyle w:val="Heading2"/>
      </w:pPr>
      <w:r>
        <w:t xml:space="preserve">14.3 The Right to Identity</w:t>
      </w:r>
    </w:p>
    <w:p>
      <w:pPr>
        <w:pStyle w:val="FirstParagraph"/>
      </w:pPr>
      <w:r>
        <w:t xml:space="preserve">Verse 120 explicitly states the People of Bahá have the opportunity for</w:t>
      </w:r>
      <w:r>
        <w:t xml:space="preserve"> </w:t>
      </w:r>
      <w:r>
        <w:t xml:space="preserve">“</w:t>
      </w:r>
      <w:r>
        <w:t xml:space="preserve">their stations to be revealed, your names will be established, and the ranks and remembrances will be elevated in a well-guarded Tablet.</w:t>
      </w:r>
      <w:r>
        <w:t xml:space="preserve">”</w:t>
      </w:r>
      <w:r>
        <w:t xml:space="preserve"> </w:t>
      </w:r>
      <w:r>
        <w:t xml:space="preserve">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pPr>
        <w:pStyle w:val="BodyText"/>
      </w:pPr>
      <w:r>
        <w:t xml:space="preserve">While verse 120 does state the People of Bahá have the opportunity stated, the right to identity is for every person from the moment they exist. The identity of the People of Bahá cannot be forced onto another nor can it be denied.</w:t>
      </w:r>
    </w:p>
    <w:p>
      <w:pPr>
        <w:pStyle w:val="BodyText"/>
      </w:pPr>
      <w:r>
        <w:rPr>
          <w:iCs/>
          <w:i/>
        </w:rPr>
        <w:t xml:space="preserve">Reflection: If a person is named by God, what does that imply about their moral worth?</w:t>
      </w:r>
    </w:p>
    <w:p>
      <w:pPr>
        <w:pStyle w:val="BodyText"/>
      </w:pPr>
      <w:r>
        <w:t xml:space="preserve">The next right moves inward by naming purity as the original condition, not a reward.</w:t>
      </w:r>
    </w:p>
    <w:bookmarkEnd w:id="515"/>
    <w:bookmarkStart w:id="516" w:name="the-right-to-purity"/>
    <w:p>
      <w:pPr>
        <w:pStyle w:val="Heading2"/>
      </w:pPr>
      <w:r>
        <w:t xml:space="preserve">14.4 The Right to Purity</w:t>
      </w:r>
    </w:p>
    <w:p>
      <w:pPr>
        <w:pStyle w:val="FirstParagraph"/>
      </w:pPr>
      <w:r>
        <w:t xml:space="preserve">Verse 74 decreed the water of semen as pure. Water is used throughout the Kitáb-i-Aqdas as a purifying agent. This means from the moment of creation, a person is created pure and they are born pure. This applies regardless of the circumstances of a person being created. Every person has a right to spiritual purity. This means they also have a right to be free from corruption. Verse 64 says</w:t>
      </w:r>
      <w:r>
        <w:t xml:space="preserve"> </w:t>
      </w:r>
      <w:r>
        <w:t xml:space="preserve">“</w:t>
      </w:r>
      <w:r>
        <w:t xml:space="preserve">corruption is not of Us.</w:t>
      </w:r>
      <w:r>
        <w:t xml:space="preserve">”</w:t>
      </w:r>
    </w:p>
    <w:p>
      <w:pPr>
        <w:pStyle w:val="BodyText"/>
      </w:pPr>
      <w:r>
        <w:rPr>
          <w:iCs/>
          <w:i/>
        </w:rPr>
        <w:t xml:space="preserve">Reflection: If purity is given, how should it shape the way a body is treated?</w:t>
      </w:r>
    </w:p>
    <w:p>
      <w:pPr>
        <w:pStyle w:val="BodyText"/>
      </w:pPr>
      <w:r>
        <w:t xml:space="preserve">That question leads naturally into dignity as expressed through cleanliness, clothing, and presentation.</w:t>
      </w:r>
    </w:p>
    <w:bookmarkEnd w:id="516"/>
    <w:bookmarkStart w:id="517" w:name="the-right-to-a-dignified-appearance"/>
    <w:p>
      <w:pPr>
        <w:pStyle w:val="Heading2"/>
      </w:pPr>
      <w:r>
        <w:t xml:space="preserve">14.5 The Right to a Dignified Appearance</w:t>
      </w:r>
    </w:p>
    <w:p>
      <w:pPr>
        <w:pStyle w:val="FirstParagraph"/>
      </w:pPr>
      <w:r>
        <w:t xml:space="preserve">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pPr>
        <w:pStyle w:val="BodyText"/>
      </w:pPr>
      <w:r>
        <w:t xml:space="preserve">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pPr>
        <w:pStyle w:val="BodyText"/>
      </w:pPr>
      <w:r>
        <w:t xml:space="preserve">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pPr>
        <w:pStyle w:val="BodyText"/>
      </w:pPr>
      <w:r>
        <w:rPr>
          <w:iCs/>
          <w:i/>
        </w:rPr>
        <w:t xml:space="preserve">Reflection: When dignity is outwardly protected, what should be protected inwardly?</w:t>
      </w:r>
    </w:p>
    <w:p>
      <w:pPr>
        <w:pStyle w:val="BodyText"/>
      </w:pPr>
      <w:r>
        <w:t xml:space="preserve">From appearance, the chapter turns to the emotional climate every person deserves.</w:t>
      </w:r>
    </w:p>
    <w:bookmarkEnd w:id="517"/>
    <w:bookmarkStart w:id="520" w:name="the-right-to-love-and-kindness"/>
    <w:p>
      <w:pPr>
        <w:pStyle w:val="Heading2"/>
      </w:pPr>
      <w:r>
        <w:t xml:space="preserve">14.6 The Right to Love and Kindness</w:t>
      </w:r>
    </w:p>
    <w:p>
      <w:pPr>
        <w:pStyle w:val="FirstParagraph"/>
      </w:pPr>
      <w:r>
        <w:t xml:space="preserve">Throughout the Kitáb-i-Aqdas, Bahá’u’lláh enjoins kindness and love for all.</w:t>
      </w:r>
      <w:r>
        <w:rPr>
          <w:rStyle w:val="FootnoteReference"/>
        </w:rPr>
        <w:footnoteReference w:id="518"/>
      </w:r>
      <w:r>
        <w:t xml:space="preserve"> </w:t>
      </w:r>
      <w:r>
        <w:t xml:space="preserve">All people have a right to love and kindness. These are not conditional nor are they earned. This helps foster a sense of emotional well-being and security. Affection</w:t>
      </w:r>
      <w:r>
        <w:rPr>
          <w:rStyle w:val="FootnoteReference"/>
        </w:rPr>
        <w:footnoteReference w:id="519"/>
      </w:r>
      <w:r>
        <w:t xml:space="preserve"> </w:t>
      </w:r>
      <w:r>
        <w:t xml:space="preserve">is a limitless tool, as long as no other rights are violated.</w:t>
      </w:r>
    </w:p>
    <w:p>
      <w:pPr>
        <w:pStyle w:val="BodyText"/>
      </w:pPr>
      <w:r>
        <w:rPr>
          <w:iCs/>
          <w:i/>
        </w:rPr>
        <w:t xml:space="preserve">Reflection: If love is a right, what violates it most directly?</w:t>
      </w:r>
    </w:p>
    <w:p>
      <w:pPr>
        <w:pStyle w:val="BodyText"/>
      </w:pPr>
      <w:r>
        <w:t xml:space="preserve">This leads into oppression as the broad category of harms that strip rights away.</w:t>
      </w:r>
    </w:p>
    <w:bookmarkEnd w:id="520"/>
    <w:bookmarkStart w:id="543" w:name="the-right-to-be-free-of-oppression"/>
    <w:p>
      <w:pPr>
        <w:pStyle w:val="Heading2"/>
      </w:pPr>
      <w:r>
        <w:t xml:space="preserve">14.7 The Right to Be Free of Oppression</w:t>
      </w:r>
    </w:p>
    <w:p>
      <w:pPr>
        <w:pStyle w:val="FirstParagraph"/>
      </w:pPr>
      <w:r>
        <w:t xml:space="preserve">The Kitáb-i-Aqdas forbids oppression.</w:t>
      </w:r>
      <w:r>
        <w:rPr>
          <w:rStyle w:val="FootnoteReference"/>
        </w:rPr>
        <w:footnoteReference w:id="521"/>
      </w:r>
      <w:r>
        <w:t xml:space="preserve"> </w:t>
      </w:r>
      <w:r>
        <w:t xml:space="preserve">Oppression is used in the context of lewdness, which opposes the virtues of righteousness and piety.</w:t>
      </w:r>
      <w:r>
        <w:rPr>
          <w:rStyle w:val="FootnoteReference"/>
        </w:rPr>
        <w:footnoteReference w:id="522"/>
      </w:r>
      <w:r>
        <w:t xml:space="preserve"> </w:t>
      </w:r>
      <w:r>
        <w:t xml:space="preserve">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bookmarkStart w:id="524" w:name="maturity"/>
    <w:p>
      <w:pPr>
        <w:pStyle w:val="Heading3"/>
      </w:pPr>
      <w:r>
        <w:t xml:space="preserve">14.7.1 Maturity</w:t>
      </w:r>
    </w:p>
    <w:p>
      <w:pPr>
        <w:pStyle w:val="FirstParagraph"/>
      </w:pPr>
      <w:r>
        <w:t xml:space="preserve">Bahá’u’lláh describes various acts dependent upon reaching maturity.</w:t>
      </w:r>
      <w:r>
        <w:rPr>
          <w:rStyle w:val="FootnoteReference"/>
        </w:rPr>
        <w:footnoteReference w:id="523"/>
      </w:r>
      <w:r>
        <w:t xml:space="preserve"> </w:t>
      </w:r>
      <w:r>
        <w:t xml:space="preserve">Every person has a right to mature and also a right to be free from being forced to be mature before they are mature. Preventing maturity is an act of oppression. This can be done by withholding education, preventing skill development, or by shielding someone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bookmarkEnd w:id="524"/>
    <w:bookmarkStart w:id="526" w:name="lewdness"/>
    <w:p>
      <w:pPr>
        <w:pStyle w:val="Heading3"/>
      </w:pPr>
      <w:r>
        <w:t xml:space="preserve">14.7.2 Lewdness</w:t>
      </w:r>
    </w:p>
    <w:p>
      <w:pPr>
        <w:pStyle w:val="FirstParagraph"/>
      </w:pPr>
      <w:r>
        <w:t xml:space="preserve">All people have a right to be free from lewdness.</w:t>
      </w:r>
      <w:r>
        <w:rPr>
          <w:rStyle w:val="FootnoteReference"/>
        </w:rPr>
        <w:footnoteReference w:id="525"/>
      </w:r>
      <w:r>
        <w:t xml:space="preserve"> </w:t>
      </w:r>
      <w:r>
        <w:t xml:space="preserve">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bookmarkEnd w:id="526"/>
    <w:bookmarkStart w:id="528" w:name="pederasty"/>
    <w:p>
      <w:pPr>
        <w:pStyle w:val="Heading3"/>
      </w:pPr>
      <w:r>
        <w:t xml:space="preserve">14.7.3 Pederasty</w:t>
      </w:r>
    </w:p>
    <w:p>
      <w:pPr>
        <w:pStyle w:val="FirstParagraph"/>
      </w:pPr>
      <w:r>
        <w:t xml:space="preserve">Pederasty</w:t>
      </w:r>
      <w:r>
        <w:rPr>
          <w:rStyle w:val="FootnoteReference"/>
        </w:rPr>
        <w:footnoteReference w:id="527"/>
      </w:r>
      <w:r>
        <w:t xml:space="preserve"> </w:t>
      </w:r>
      <w:r>
        <w:t xml:space="preserve">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bookmarkEnd w:id="528"/>
    <w:bookmarkStart w:id="530" w:name="marriage"/>
    <w:p>
      <w:pPr>
        <w:pStyle w:val="Heading3"/>
      </w:pPr>
      <w:r>
        <w:t xml:space="preserve">14.7.4 Marriage</w:t>
      </w:r>
    </w:p>
    <w:p>
      <w:pPr>
        <w:pStyle w:val="FirstParagraph"/>
      </w:pPr>
      <w:r>
        <w:t xml:space="preserve">All people have a right to be free from a forced marriage.</w:t>
      </w:r>
      <w:r>
        <w:rPr>
          <w:rStyle w:val="FootnoteReference"/>
        </w:rPr>
        <w:footnoteReference w:id="529"/>
      </w:r>
      <w:r>
        <w:t xml:space="preserve"> </w:t>
      </w:r>
      <w:r>
        <w:t xml:space="preserve">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bookmarkEnd w:id="530"/>
    <w:bookmarkStart w:id="533" w:name="physical-and-emotional-harm"/>
    <w:p>
      <w:pPr>
        <w:pStyle w:val="Heading3"/>
      </w:pPr>
      <w:r>
        <w:t xml:space="preserve">14.7.5 Physical and Emotional Harm</w:t>
      </w:r>
    </w:p>
    <w:p>
      <w:pPr>
        <w:pStyle w:val="FirstParagraph"/>
      </w:pPr>
      <w:r>
        <w:t xml:space="preserve">All people have a right to protection from physical and emotional harm.</w:t>
      </w:r>
      <w:r>
        <w:rPr>
          <w:rStyle w:val="FootnoteReference"/>
        </w:rPr>
        <w:footnoteReference w:id="531"/>
      </w:r>
      <w:r>
        <w:t xml:space="preserve"> </w:t>
      </w:r>
      <w:r>
        <w:t xml:space="preserve">The threat of physical harm to coerce consent would also be prohibited. Emotional harm can include contention, disputes, backbiting, and slander.</w:t>
      </w:r>
      <w:r>
        <w:rPr>
          <w:rStyle w:val="FootnoteReference"/>
        </w:rPr>
        <w:footnoteReference w:id="532"/>
      </w:r>
      <w:r>
        <w:t xml:space="preserve"> </w:t>
      </w:r>
      <w:r>
        <w:t xml:space="preserve">Instead, all people have a right to consultation and a right to walk away and leave emotional harm.</w:t>
      </w:r>
    </w:p>
    <w:bookmarkEnd w:id="533"/>
    <w:bookmarkStart w:id="534" w:name="slavery"/>
    <w:p>
      <w:pPr>
        <w:pStyle w:val="Heading3"/>
      </w:pPr>
      <w:r>
        <w:t xml:space="preserve">14.7.6 Slavery</w:t>
      </w:r>
    </w:p>
    <w:p>
      <w:pPr>
        <w:pStyle w:val="FirstParagraph"/>
      </w:pPr>
      <w:r>
        <w:t xml:space="preserve">All people have a right to not be purchased or sold as slaves or servants.</w:t>
      </w:r>
    </w:p>
    <w:bookmarkEnd w:id="534"/>
    <w:bookmarkStart w:id="535" w:name="provision"/>
    <w:p>
      <w:pPr>
        <w:pStyle w:val="Heading3"/>
      </w:pPr>
      <w:r>
        <w:t xml:space="preserve">14.7.7 Provision</w:t>
      </w:r>
    </w:p>
    <w:p>
      <w:pPr>
        <w:pStyle w:val="FirstParagraph"/>
      </w:pPr>
      <w:r>
        <w:t xml:space="preserve">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pPr>
        <w:pStyle w:val="BodyText"/>
      </w:pPr>
      <w:r>
        <w:t xml:space="preserve">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pPr>
        <w:pStyle w:val="BodyText"/>
      </w:pPr>
      <w:r>
        <w:t xml:space="preserve">Finally, provision can also include basic environmental necessities, such as clean air, clean water, and food free from undisclosed toxins and chemicals.</w:t>
      </w:r>
    </w:p>
    <w:bookmarkEnd w:id="535"/>
    <w:bookmarkStart w:id="536" w:name="hatred"/>
    <w:p>
      <w:pPr>
        <w:pStyle w:val="Heading3"/>
      </w:pPr>
      <w:r>
        <w:t xml:space="preserve">14.7.8 Hatred</w:t>
      </w:r>
    </w:p>
    <w:p>
      <w:pPr>
        <w:pStyle w:val="FirstParagraph"/>
      </w:pPr>
      <w:r>
        <w:t xml:space="preserve">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bookmarkEnd w:id="536"/>
    <w:bookmarkStart w:id="539" w:name="corruption"/>
    <w:p>
      <w:pPr>
        <w:pStyle w:val="Heading3"/>
      </w:pPr>
      <w:r>
        <w:t xml:space="preserve">14.7.9 Corruption</w:t>
      </w:r>
    </w:p>
    <w:p>
      <w:pPr>
        <w:pStyle w:val="FirstParagraph"/>
      </w:pPr>
      <w:r>
        <w:t xml:space="preserve">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by those who are compelling specific actions or material gain.</w:t>
      </w:r>
    </w:p>
    <w:p>
      <w:pPr>
        <w:pStyle w:val="BodyText"/>
      </w:pPr>
      <w:r>
        <w:t xml:space="preserve">There is a right to be free from consuming that which robs a person of reason.</w:t>
      </w:r>
      <w:r>
        <w:rPr>
          <w:rStyle w:val="FootnoteReference"/>
        </w:rPr>
        <w:footnoteReference w:id="537"/>
      </w:r>
      <w:r>
        <w:t xml:space="preserve"> </w:t>
      </w:r>
      <w:r>
        <w:t xml:space="preserve">This will cause a person to become heedless and suspicious. Opium is explicitly mentioned</w:t>
      </w:r>
      <w:r>
        <w:rPr>
          <w:rStyle w:val="FootnoteReference"/>
        </w:rPr>
        <w:footnoteReference w:id="538"/>
      </w:r>
      <w:r>
        <w:t xml:space="preserve"> </w:t>
      </w:r>
      <w:r>
        <w:t xml:space="preserve">along with gambling. Reason is a virtue all people have a right to.</w:t>
      </w:r>
    </w:p>
    <w:bookmarkEnd w:id="539"/>
    <w:bookmarkStart w:id="541" w:name="tyranny"/>
    <w:p>
      <w:pPr>
        <w:pStyle w:val="Heading3"/>
      </w:pPr>
      <w:r>
        <w:t xml:space="preserve">14.7.10 Tyranny</w:t>
      </w:r>
    </w:p>
    <w:p>
      <w:pPr>
        <w:pStyle w:val="FirstParagraph"/>
      </w:pPr>
      <w:r>
        <w:t xml:space="preserve">Tyranny is the use of power which is cruel, unfair, harsh, or unjust. This can apply in any relationship where there is a power dynamic involved. Every person has a right to be free from tyranny.</w:t>
      </w:r>
      <w:r>
        <w:rPr>
          <w:rStyle w:val="FootnoteReference"/>
        </w:rPr>
        <w:footnoteReference w:id="540"/>
      </w:r>
    </w:p>
    <w:bookmarkEnd w:id="541"/>
    <w:bookmarkStart w:id="542" w:name="justice-1"/>
    <w:p>
      <w:pPr>
        <w:pStyle w:val="Heading3"/>
      </w:pPr>
      <w:r>
        <w:t xml:space="preserve">14.7.11 Justice</w:t>
      </w:r>
    </w:p>
    <w:p>
      <w:pPr>
        <w:pStyle w:val="FirstParagraph"/>
      </w:pPr>
      <w:r>
        <w:t xml:space="preserve">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pPr>
        <w:pStyle w:val="BodyText"/>
      </w:pPr>
      <w:r>
        <w:rPr>
          <w:iCs/>
          <w:i/>
        </w:rPr>
        <w:t xml:space="preserve">Reflection: If oppression is forbidden, what practical care must be guaranteed?</w:t>
      </w:r>
    </w:p>
    <w:p>
      <w:pPr>
        <w:pStyle w:val="BodyText"/>
      </w:pPr>
      <w:r>
        <w:t xml:space="preserve">From prevention of harm, the chapter turns to healing and the right to competent treatment.</w:t>
      </w:r>
    </w:p>
    <w:bookmarkEnd w:id="542"/>
    <w:bookmarkEnd w:id="543"/>
    <w:bookmarkStart w:id="545" w:name="the-right-to-a-skilled-physician"/>
    <w:p>
      <w:pPr>
        <w:pStyle w:val="Heading2"/>
      </w:pPr>
      <w:r>
        <w:t xml:space="preserve">14.8 The Right to a Skilled Physician</w:t>
      </w:r>
    </w:p>
    <w:p>
      <w:pPr>
        <w:pStyle w:val="FirstParagraph"/>
      </w:pPr>
      <w:r>
        <w:t xml:space="preserve">Bahá’u’lláh says for those who fall ill, skilled physicians should be referred to.</w:t>
      </w:r>
      <w:r>
        <w:rPr>
          <w:rStyle w:val="FootnoteReference"/>
        </w:rPr>
        <w:footnoteReference w:id="544"/>
      </w:r>
      <w:r>
        <w:t xml:space="preserve"> </w:t>
      </w:r>
      <w:r>
        <w:t xml:space="preserve">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pPr>
        <w:pStyle w:val="BodyText"/>
      </w:pPr>
      <w:r>
        <w:t xml:space="preserve">For those who have not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pPr>
        <w:pStyle w:val="BodyText"/>
      </w:pPr>
      <w:r>
        <w:rPr>
          <w:iCs/>
          <w:i/>
        </w:rPr>
        <w:t xml:space="preserve">Reflection: If a child is vulnerable, what must be protected beyond the body?</w:t>
      </w:r>
    </w:p>
    <w:p>
      <w:pPr>
        <w:pStyle w:val="BodyText"/>
      </w:pPr>
      <w:r>
        <w:t xml:space="preserve">Material protections follow by addressing inheritance as a right that cannot be quietly taken.</w:t>
      </w:r>
    </w:p>
    <w:bookmarkEnd w:id="545"/>
    <w:bookmarkStart w:id="547" w:name="the-right-to-inheritance"/>
    <w:p>
      <w:pPr>
        <w:pStyle w:val="Heading2"/>
      </w:pPr>
      <w:r>
        <w:t xml:space="preserve">14.9 The Right to Inheritance</w:t>
      </w:r>
    </w:p>
    <w:p>
      <w:pPr>
        <w:pStyle w:val="FirstParagraph"/>
      </w:pPr>
      <w:r>
        <w:t xml:space="preserve">All people have a right to receive any inheritance provided to them through the legal contract of a will and testament.</w:t>
      </w:r>
      <w:r>
        <w:rPr>
          <w:rStyle w:val="FootnoteReference"/>
        </w:rPr>
        <w:footnoteReference w:id="546"/>
      </w:r>
      <w:r>
        <w:t xml:space="preserve"> </w:t>
      </w:r>
      <w:r>
        <w:t xml:space="preserve">This right cannot be deprived under any circumstance. If a person has not reached maturity, their inheritance must be protected through a trust. This trust is managed professionally and responsibly until the youth reaches maturity.</w:t>
      </w:r>
    </w:p>
    <w:p>
      <w:pPr>
        <w:pStyle w:val="BodyText"/>
      </w:pPr>
      <w:r>
        <w:rPr>
          <w:iCs/>
          <w:i/>
        </w:rPr>
        <w:t xml:space="preserve">Reflection: If worship is a right, what must never accompany it?</w:t>
      </w:r>
    </w:p>
    <w:p>
      <w:pPr>
        <w:pStyle w:val="BodyText"/>
      </w:pPr>
      <w:r>
        <w:t xml:space="preserve">Freedom of conscience becomes clearer when worship is protected from coercion.</w:t>
      </w:r>
    </w:p>
    <w:bookmarkEnd w:id="547"/>
    <w:bookmarkStart w:id="549" w:name="the-right-to-worship"/>
    <w:p>
      <w:pPr>
        <w:pStyle w:val="Heading2"/>
      </w:pPr>
      <w:r>
        <w:t xml:space="preserve">14.10 The Right to Worship</w:t>
      </w:r>
    </w:p>
    <w:p>
      <w:pPr>
        <w:pStyle w:val="FirstParagraph"/>
      </w:pPr>
      <w:r>
        <w:t xml:space="preserve">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bookmarkStart w:id="548" w:name="the-right-to-a-mashriqul-adhkár"/>
    <w:p>
      <w:pPr>
        <w:pStyle w:val="Heading3"/>
      </w:pPr>
      <w:r>
        <w:t xml:space="preserve">14.10.1 The Right to a Mashriqu’l-Adhkár</w:t>
      </w:r>
    </w:p>
    <w:p>
      <w:pPr>
        <w:pStyle w:val="FirstParagraph"/>
      </w:pPr>
      <w:r>
        <w:t xml:space="preserve">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pPr>
        <w:pStyle w:val="BodyText"/>
      </w:pPr>
      <w:r>
        <w:rPr>
          <w:iCs/>
          <w:i/>
        </w:rPr>
        <w:t xml:space="preserve">Reflection: What song or musical style have you felt deep within yourself?</w:t>
      </w:r>
    </w:p>
    <w:p>
      <w:pPr>
        <w:pStyle w:val="BodyText"/>
      </w:pPr>
      <w:r>
        <w:t xml:space="preserve">Education is the bridge that turns potential into capacity without coercion.</w:t>
      </w:r>
    </w:p>
    <w:bookmarkEnd w:id="548"/>
    <w:bookmarkEnd w:id="549"/>
    <w:bookmarkStart w:id="555" w:name="the-right-to-education"/>
    <w:p>
      <w:pPr>
        <w:pStyle w:val="Heading2"/>
      </w:pPr>
      <w:r>
        <w:t xml:space="preserve">14.11 The Right to Education</w:t>
      </w:r>
    </w:p>
    <w:p>
      <w:pPr>
        <w:pStyle w:val="FirstParagraph"/>
      </w:pPr>
      <w:r>
        <w:t xml:space="preserve">Bahá’u’lláh emphasizes the right to education.</w:t>
      </w:r>
      <w:r>
        <w:rPr>
          <w:rStyle w:val="FootnoteReference"/>
        </w:rPr>
        <w:footnoteReference w:id="550"/>
      </w:r>
      <w:r>
        <w:t xml:space="preserve"> </w:t>
      </w:r>
      <w:r>
        <w:t xml:space="preserve">Education includes at least two languages</w:t>
      </w:r>
      <w:r>
        <w:rPr>
          <w:rStyle w:val="FootnoteReference"/>
        </w:rPr>
        <w:footnoteReference w:id="551"/>
      </w:r>
      <w:r>
        <w:t xml:space="preserve"> </w:t>
      </w:r>
      <w:r>
        <w:t xml:space="preserve">(the primary language of home and a secondary language), science,</w:t>
      </w:r>
      <w:r>
        <w:rPr>
          <w:rStyle w:val="FootnoteReference"/>
        </w:rPr>
        <w:footnoteReference w:id="552"/>
      </w:r>
      <w:r>
        <w:t xml:space="preserve"> </w:t>
      </w:r>
      <w:r>
        <w:t xml:space="preserve">arts, crafts,</w:t>
      </w:r>
      <w:r>
        <w:rPr>
          <w:rStyle w:val="FootnoteReference"/>
        </w:rPr>
        <w:footnoteReference w:id="553"/>
      </w:r>
      <w:r>
        <w:t xml:space="preserve"> </w:t>
      </w:r>
      <w:r>
        <w:t xml:space="preserve">and the sacred words of God.</w:t>
      </w:r>
      <w:r>
        <w:rPr>
          <w:rStyle w:val="FootnoteReference"/>
        </w:rPr>
        <w:footnoteReference w:id="554"/>
      </w:r>
      <w:r>
        <w:t xml:space="preserve"> </w:t>
      </w:r>
      <w:r>
        <w:t xml:space="preserve">This education involves the skills required to learn these subjects, such as reading, writing, arithmetic, and critical thinking. Education involves the virtues and rights enjoined by Bahá’u’lláh as well as the gradual introduction of responsibilities to ensure maturity. Education also includes a variety of methodologies, and in particular, children should have a right to play. All people have a right to education.</w:t>
      </w:r>
    </w:p>
    <w:p>
      <w:pPr>
        <w:pStyle w:val="BodyText"/>
      </w:pPr>
      <w:r>
        <w:t xml:space="preserve">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pPr>
        <w:pStyle w:val="BodyText"/>
      </w:pPr>
      <w:r>
        <w:rPr>
          <w:iCs/>
          <w:i/>
        </w:rPr>
        <w:t xml:space="preserve">Reflection: If rights come first, what does that imply about religious authority?</w:t>
      </w:r>
    </w:p>
    <w:p>
      <w:pPr>
        <w:pStyle w:val="BodyText"/>
      </w:pPr>
      <w:r>
        <w:t xml:space="preserve">This reframes responsibility as a voluntary response to God, not a tool of control, which is central to achieving true liberation.</w:t>
      </w:r>
    </w:p>
    <w:bookmarkEnd w:id="555"/>
    <w:bookmarkStart w:id="556" w:name="responsibilities"/>
    <w:p>
      <w:pPr>
        <w:pStyle w:val="Heading2"/>
      </w:pPr>
      <w:r>
        <w:t xml:space="preserve">14.12 Responsibilities</w:t>
      </w:r>
    </w:p>
    <w:p>
      <w:pPr>
        <w:pStyle w:val="FirstParagraph"/>
      </w:pPr>
      <w:r>
        <w:t xml:space="preserve">People who have not reached maturity have no responsibility in the command of God, other than what is necessary to mature.</w:t>
      </w:r>
    </w:p>
    <w:p>
      <w:pPr>
        <w:pStyle w:val="BodyText"/>
      </w:pPr>
      <w:r>
        <w:rPr>
          <w:iCs/>
          <w:i/>
        </w:rPr>
        <w:t xml:space="preserve">Reflection: If the chapter begins at conception, what is its single thread?</w:t>
      </w:r>
    </w:p>
    <w:p>
      <w:pPr>
        <w:pStyle w:val="BodyText"/>
      </w:pPr>
      <w:r>
        <w:t xml:space="preserve">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Parts 3 and 4.</w:t>
      </w:r>
    </w:p>
    <w:bookmarkEnd w:id="556"/>
    <w:bookmarkStart w:id="557" w:name="conclusion-2"/>
    <w:p>
      <w:pPr>
        <w:pStyle w:val="Heading2"/>
      </w:pPr>
      <w:r>
        <w:t xml:space="preserve">14.13 Conclusion</w:t>
      </w:r>
    </w:p>
    <w:p>
      <w:pPr>
        <w:pStyle w:val="FirstParagraph"/>
      </w:pPr>
      <w:r>
        <w:t xml:space="preserve">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r>
        <w:br w:type="page"/>
      </w:r>
    </w:p>
    <w:bookmarkEnd w:id="557"/>
    <w:bookmarkEnd w:id="558"/>
    <w:bookmarkStart w:id="595" w:name="from-maturity-to-devotion"/>
    <w:p>
      <w:pPr>
        <w:pStyle w:val="Heading1"/>
      </w:pPr>
      <w:r>
        <w:t xml:space="preserve">15. From Maturity to Devotion</w:t>
      </w:r>
    </w:p>
    <w:bookmarkStart w:id="560" w:name="the-first-responsibility"/>
    <w:p>
      <w:pPr>
        <w:pStyle w:val="Heading2"/>
      </w:pPr>
      <w:r>
        <w:t xml:space="preserve">15.1 The First Responsibility</w:t>
      </w:r>
    </w:p>
    <w:p>
      <w:pPr>
        <w:pStyle w:val="FirstParagraph"/>
      </w:pPr>
      <w:r>
        <w:t xml:space="preserve">In the prior chapter we established some basic rights all people have from conception until maturity. In this chapter, we will begin a series of chapters about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pPr>
        <w:pStyle w:val="BodyText"/>
      </w:pPr>
      <w:r>
        <w:t xml:space="preserve">Before explaining what maturity is, I want to introduce what I believe is the first responsibility we have at maturity. Bahá’u’lláh says</w:t>
      </w:r>
      <w:r>
        <w:t xml:space="preserve"> </w:t>
      </w:r>
      <w:r>
        <w:t xml:space="preserve">“</w:t>
      </w:r>
      <w:r>
        <w:t xml:space="preserve">no one should object to those who rule over the people.</w:t>
      </w:r>
      <w:r>
        <w:t xml:space="preserve">”</w:t>
      </w:r>
      <w:r>
        <w:rPr>
          <w:rStyle w:val="FootnoteReference"/>
        </w:rPr>
        <w:footnoteReference w:id="559"/>
      </w:r>
      <w:r>
        <w:t xml:space="preserve"> </w:t>
      </w:r>
      <w:r>
        <w:t xml:space="preserve">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they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pPr>
        <w:pStyle w:val="BodyText"/>
      </w:pPr>
      <w:r>
        <w:rPr>
          <w:iCs/>
          <w:i/>
        </w:rPr>
        <w:t xml:space="preserve">Reflection: Where do you invest your energy, in contesting authority or in cultivating hearts?</w:t>
      </w:r>
    </w:p>
    <w:p>
      <w:pPr>
        <w:pStyle w:val="BodyText"/>
      </w:pPr>
      <w:r>
        <w:t xml:space="preserve">With that first responsibility in view, we can now define what maturity means in this framework.</w:t>
      </w:r>
    </w:p>
    <w:bookmarkEnd w:id="560"/>
    <w:bookmarkStart w:id="563" w:name="what-is-maturity"/>
    <w:p>
      <w:pPr>
        <w:pStyle w:val="Heading2"/>
      </w:pPr>
      <w:r>
        <w:t xml:space="preserve">15.2 What is Maturity?</w:t>
      </w:r>
    </w:p>
    <w:p>
      <w:pPr>
        <w:pStyle w:val="FirstParagraph"/>
      </w:pPr>
      <w:r>
        <w:t xml:space="preserve">The Kitáb-i-Aqdas mentions maturity twice. The first is when prayer and fasting become obligatory</w:t>
      </w:r>
      <w:r>
        <w:rPr>
          <w:rStyle w:val="FootnoteReference"/>
        </w:rPr>
        <w:footnoteReference w:id="561"/>
      </w:r>
      <w:r>
        <w:t xml:space="preserve"> </w:t>
      </w:r>
      <w:r>
        <w:t xml:space="preserve">and the second is when one becomes eligible to receive inheritance.</w:t>
      </w:r>
      <w:r>
        <w:rPr>
          <w:rStyle w:val="FootnoteReference"/>
        </w:rPr>
        <w:footnoteReference w:id="562"/>
      </w:r>
      <w:r>
        <w:t xml:space="preserve"> </w:t>
      </w:r>
      <w:r>
        <w:t xml:space="preserve">On the latter right, Bahá’u’lláh conditions trusteeship if the descendant is weak instead of being mature. What might weakness be related to?</w:t>
      </w:r>
    </w:p>
    <w:p>
      <w:pPr>
        <w:pStyle w:val="BodyText"/>
      </w:pPr>
      <w:r>
        <w:t xml:space="preserve">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pPr>
        <w:pStyle w:val="BodyText"/>
      </w:pPr>
      <w:r>
        <w:t xml:space="preserve">To support these ideas, we can look further in Bahá’u’lláh’s revelation. In the Lawḥ-i-Ra’ís (A Tablet to a Chief), Bahá’u’lláh closes with an instruction for ’Alí Páshá. He says</w:t>
      </w:r>
      <w:r>
        <w:t xml:space="preserve"> </w:t>
      </w:r>
      <w:r>
        <w:t xml:space="preserve">“</w:t>
      </w:r>
      <w:r>
        <w:t xml:space="preserve">Ask God to help you reach maturity so that you become aware of the beauty and ugliness of deeds and actions.</w:t>
      </w:r>
      <w:r>
        <w:t xml:space="preserve">”</w:t>
      </w:r>
      <w:r>
        <w:t xml:space="preserve"> </w:t>
      </w:r>
      <w:r>
        <w:t xml:space="preserve">To reach maturity, one must understand the consequences of one’s actions. The Kitáb-i-Aqdas also conditions marriage upon the consent of both potential spouses. In other words, maturity is not only capacity, it is moral sight, and consent is one of its first proofs.</w:t>
      </w:r>
    </w:p>
    <w:p>
      <w:pPr>
        <w:pStyle w:val="BodyText"/>
      </w:pPr>
      <w:r>
        <w:t xml:space="preserve">With these conditions, let’s look at how the Badí‘ calendar’s progression moves through the maturation process.</w:t>
      </w:r>
    </w:p>
    <w:p>
      <w:pPr>
        <w:pStyle w:val="BodyText"/>
      </w:pPr>
      <w:r>
        <w:rPr>
          <w:iCs/>
          <w:i/>
        </w:rPr>
        <w:t xml:space="preserve">Reflection: If maturity is moral sight, what should time itself be teaching you?</w:t>
      </w:r>
    </w:p>
    <w:p>
      <w:pPr>
        <w:pStyle w:val="BodyText"/>
      </w:pPr>
      <w:r>
        <w:t xml:space="preserve">The next section uses the sacred rhythm of the year to make the stages of maturity easier to see.</w:t>
      </w:r>
    </w:p>
    <w:bookmarkEnd w:id="563"/>
    <w:bookmarkStart w:id="577" w:name="the-badí-calendars-rhythm-of-maturity"/>
    <w:p>
      <w:pPr>
        <w:pStyle w:val="Heading2"/>
      </w:pPr>
      <w:r>
        <w:t xml:space="preserve">15.3 The Badí‘ Calendar’s Rhythm of Maturity</w:t>
      </w:r>
    </w:p>
    <w:p>
      <w:pPr>
        <w:pStyle w:val="FirstParagraph"/>
      </w:pPr>
      <w:r>
        <w:t xml:space="preserve">A person matures through three stages at the ages of 11, 15, and 19. The numbers 11, 15, and 19 are not arbitrary. They correspond to the months Mashíyyat (Will), Masá’il (Questions), and</w:t>
      </w:r>
      <w:r>
        <w:t xml:space="preserve"> </w:t>
      </w:r>
      <w:r>
        <w:t xml:space="preserve">‘</w:t>
      </w:r>
      <w:r>
        <w:t xml:space="preserve">Alá</w:t>
      </w:r>
      <w:r>
        <w:t xml:space="preserve">’</w:t>
      </w:r>
      <w:r>
        <w:t xml:space="preserve"> </w:t>
      </w:r>
      <w:r>
        <w:t xml:space="preserve">(Loftiness) in the Badí‘ calendar. This is the divine rhythm by which the world itself matures. Thus, even time testifies that the awakening of awareness, the assumption of will, and the perfection of trust are one continuous act of God’s creation. By the time a person turns 19, that person would have completed 19 cycles of 19 months, a complete Váḥid of life. This is the essence of unity. This section will be focused on the Báb’s teachings of maturity. Bahá’u’lláh made no changes to the Báb’s command regarding maturity.</w:t>
      </w:r>
    </w:p>
    <w:bookmarkStart w:id="567" w:name="at-age-11"/>
    <w:p>
      <w:pPr>
        <w:pStyle w:val="Heading3"/>
      </w:pPr>
      <w:r>
        <w:t xml:space="preserve">15.3.1 At Age 11</w:t>
      </w:r>
    </w:p>
    <w:p>
      <w:pPr>
        <w:pStyle w:val="FirstParagraph"/>
      </w:pPr>
      <w:r>
        <w:t xml:space="preserve">Age 11 corresponds to God’s name Huva.</w:t>
      </w:r>
      <w:r>
        <w:rPr>
          <w:rStyle w:val="FootnoteReference"/>
        </w:rPr>
        <w:footnoteReference w:id="564"/>
      </w:r>
      <w:r>
        <w:t xml:space="preserve"> </w:t>
      </w:r>
      <w:r>
        <w:t xml:space="preserve">Huva is composed of two Arabic letters, Há’ (ه) and Váv (و). Bahá’u’lláh says the letter Há’ corresponds with God’s inward identification and indexing of Himself as</w:t>
      </w:r>
      <w:r>
        <w:t xml:space="preserve"> </w:t>
      </w:r>
      <w:r>
        <w:t xml:space="preserve">“</w:t>
      </w:r>
      <w:r>
        <w:t xml:space="preserve">He.</w:t>
      </w:r>
      <w:r>
        <w:t xml:space="preserve">”</w:t>
      </w:r>
      <w:r>
        <w:rPr>
          <w:rStyle w:val="FootnoteReference"/>
        </w:rPr>
        <w:footnoteReference w:id="565"/>
      </w:r>
      <w:r>
        <w:t xml:space="preserve"> </w:t>
      </w:r>
      <w:r>
        <w:t xml:space="preserve">Every other name is derived from this name. The name Váv, which means Will, represents the outward expression of Him. In the Badí‘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pPr>
        <w:pStyle w:val="BodyText"/>
      </w:pPr>
      <w:r>
        <w:t xml:space="preserve">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were first fashioned through the first Temple, the Temple of the Letter Há’.</w:t>
      </w:r>
      <w:r>
        <w:rPr>
          <w:rStyle w:val="FootnoteReference"/>
        </w:rPr>
        <w:footnoteReference w:id="566"/>
      </w:r>
      <w:r>
        <w:t xml:space="preserve"> </w:t>
      </w:r>
      <w:r>
        <w:t xml:space="preserve">These Temples of Unity are 19 Temples which each include 11 units from the Names of God. They may be created in the form the child desires. For each day of the month, the child is to recite what they wrote within the temple, which begins a cycle which has a beginning and an end. It’s a way to take the sacred rhythm of the Badí‘ calendar and make a sacred rhythm of the soul from it. The full instructions are within the Book of the Five Modes.</w:t>
      </w:r>
    </w:p>
    <w:bookmarkEnd w:id="567"/>
    <w:bookmarkStart w:id="569" w:name="at-age-15"/>
    <w:p>
      <w:pPr>
        <w:pStyle w:val="Heading3"/>
      </w:pPr>
      <w:r>
        <w:t xml:space="preserve">15.3.2 At Age 15</w:t>
      </w:r>
    </w:p>
    <w:p>
      <w:pPr>
        <w:pStyle w:val="FirstParagraph"/>
      </w:pPr>
      <w:r>
        <w:t xml:space="preserve">Age 15 marks the second state of maturity according to the Badí‘ calendar. This would mark the time when we reach the age of reason and moral awareness.</w:t>
      </w:r>
      <w:r>
        <w:rPr>
          <w:rStyle w:val="FootnoteReference"/>
        </w:rPr>
        <w:footnoteReference w:id="568"/>
      </w:r>
      <w:r>
        <w:t xml:space="preserve"> </w:t>
      </w:r>
      <w:r>
        <w:t xml:space="preserve">The Báb says that when this age is reached, this is when you are fully capable of choosing your religion. We can say a person has progressed not just in knowing who they are and what they choose, but also in having the ability to understand the full consequences of their choices and actions through their ability to reason. Reason is also the ability to declare your intention or what you know is true.</w:t>
      </w:r>
    </w:p>
    <w:bookmarkEnd w:id="569"/>
    <w:bookmarkStart w:id="573" w:name="at-age-19"/>
    <w:p>
      <w:pPr>
        <w:pStyle w:val="Heading3"/>
      </w:pPr>
      <w:r>
        <w:t xml:space="preserve">15.3.3 At Age 19</w:t>
      </w:r>
    </w:p>
    <w:p>
      <w:pPr>
        <w:pStyle w:val="FirstParagraph"/>
      </w:pPr>
      <w:r>
        <w:t xml:space="preserve">Age 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570"/>
      </w:r>
      <w:r>
        <w:t xml:space="preserve"> </w:t>
      </w:r>
      <w:r>
        <w:t xml:space="preserve">This also marks the final stage of spiritual development, where again a person may affirm their belief and have full ability to recognize the Manifestation of God.</w:t>
      </w:r>
      <w:r>
        <w:rPr>
          <w:rStyle w:val="FootnoteReference"/>
        </w:rPr>
        <w:footnoteReference w:id="571"/>
      </w:r>
    </w:p>
    <w:p>
      <w:pPr>
        <w:pStyle w:val="BodyText"/>
      </w:pPr>
      <w:r>
        <w:t xml:space="preserve">To mark this age, a person should render thanksgiving for the day of their conception as an embryo.</w:t>
      </w:r>
      <w:r>
        <w:rPr>
          <w:rStyle w:val="FootnoteReference"/>
        </w:rPr>
        <w:footnoteReference w:id="572"/>
      </w:r>
      <w:r>
        <w:t xml:space="preserve"> </w:t>
      </w:r>
      <w:r>
        <w:t xml:space="preserve">This also suggests the possibility that we do not just observe a birthday, but also celebrate the conception date as marking the age of a person. This also marks the first time we have the responsibility to practice reflection.</w:t>
      </w:r>
    </w:p>
    <w:bookmarkEnd w:id="573"/>
    <w:bookmarkStart w:id="575" w:name="progression-through-stages-of-maturity"/>
    <w:p>
      <w:pPr>
        <w:pStyle w:val="Heading3"/>
      </w:pPr>
      <w:r>
        <w:t xml:space="preserve">15.3.4 Progression Through Stages of Maturity</w:t>
      </w:r>
    </w:p>
    <w:p>
      <w:pPr>
        <w:pStyle w:val="FirstParagraph"/>
      </w:pPr>
      <w:r>
        <w:t xml:space="preserve">While there is a right for each person to be able to mature according to this sacred time, a child may not fully be able to. The Báb understood this and was compassionate. For example, He says if a child is unable to demonstrate capability at age 11, then one should reevaluate at age 15, and again at age 19 if needed.</w:t>
      </w:r>
      <w:r>
        <w:rPr>
          <w:rStyle w:val="FootnoteReference"/>
        </w:rPr>
        <w:footnoteReference w:id="574"/>
      </w:r>
      <w:r>
        <w:t xml:space="preserve"> </w:t>
      </w:r>
      <w:r>
        <w:t xml:space="preserve">He describes this as observing the conditions of limitation. One condition of limitation would be to recognize that a person under the age of 19 is not fully mature and is a child. The rights described in the last chapter remain intact. These conditions of limitation govern what I am calling the Maturity Matching Principle, where we recognize these stages of maturity as distinct, and we encourage peer development and association within their maturity levels.</w:t>
      </w:r>
    </w:p>
    <w:p>
      <w:pPr>
        <w:pStyle w:val="BodyText"/>
      </w:pPr>
      <w:r>
        <w:t xml:space="preserve">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bookmarkEnd w:id="575"/>
    <w:bookmarkStart w:id="576" w:name="X753915c0586792eda6e3cba96eea8e5d985e95f"/>
    <w:p>
      <w:pPr>
        <w:pStyle w:val="Heading3"/>
      </w:pPr>
      <w:r>
        <w:t xml:space="preserve">15.3.5 The Laws of Maturity and Consent in Nations</w:t>
      </w:r>
    </w:p>
    <w:p>
      <w:pPr>
        <w:pStyle w:val="FirstParagraph"/>
      </w:pPr>
      <w:r>
        <w:t xml:space="preserve">With the first responsibility stated earlier, it would be wise to consult the laws of the land where you live. In Persia and the Ottoman Empire of the late 19th century, consent and maturity were determined to be 15 years of age. In the Qajar dynasty, the prerequisite age to be a King was 18 years. Where the laws which have jurisdiction explicitly say otherwise, those laws need to be followed if they are more strict. For example, as of this writing Bahrain’s law is age 21 and South Korea recognizes adulthood at age 20. These ages of maturity and consent would need to be followed instead of the stages of 11, 15, and 19. While nations may govern legal maturity, none govern the spiritual progression which establishes the devotional identity of a mature person.</w:t>
      </w:r>
    </w:p>
    <w:p>
      <w:pPr>
        <w:pStyle w:val="BodyText"/>
      </w:pPr>
      <w:r>
        <w:rPr>
          <w:iCs/>
          <w:i/>
        </w:rPr>
        <w:t xml:space="preserve">Reflection: How do you use sacred time to mature your soul?</w:t>
      </w:r>
    </w:p>
    <w:p>
      <w:pPr>
        <w:pStyle w:val="BodyText"/>
      </w:pPr>
      <w:r>
        <w:t xml:space="preserve">Now we move from the calendar’s pattern into the adult’s first inner obligations.</w:t>
      </w:r>
    </w:p>
    <w:bookmarkEnd w:id="576"/>
    <w:bookmarkEnd w:id="577"/>
    <w:bookmarkStart w:id="579" w:name="X991a88b960c014638c9e2554dd7d0b900eca4fb"/>
    <w:p>
      <w:pPr>
        <w:pStyle w:val="Heading2"/>
      </w:pPr>
      <w:r>
        <w:t xml:space="preserve">15.4 The Devotional Identity of a Mature Adult</w:t>
      </w:r>
    </w:p>
    <w:p>
      <w:pPr>
        <w:pStyle w:val="FirstParagraph"/>
      </w:pPr>
      <w:r>
        <w:t xml:space="preserve">Maturity marks the official beginning of the devotional identity of an adult, if they choose to do so. Bahá’u’lláh says in tablet BH00528:</w:t>
      </w:r>
    </w:p>
    <w:p>
      <w:pPr>
        <w:pStyle w:val="BlockText"/>
      </w:pPr>
      <w:r>
        <w:t xml:space="preserve">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w:t>
      </w:r>
      <w:r>
        <w:t xml:space="preserve"> </w:t>
      </w:r>
      <w:r>
        <w:t xml:space="preserve">“</w:t>
      </w:r>
      <w:r>
        <w:t xml:space="preserve">Each party rejoiceth in what it possesseth.</w:t>
      </w:r>
      <w:r>
        <w:t xml:space="preserve">”</w:t>
      </w:r>
    </w:p>
    <w:p>
      <w:pPr>
        <w:pStyle w:val="FirstParagraph"/>
      </w:pPr>
      <w:r>
        <w:t xml:space="preserve">He goes on to say the</w:t>
      </w:r>
      <w:r>
        <w:t xml:space="preserve"> </w:t>
      </w:r>
      <w:r>
        <w:t xml:space="preserve">“</w:t>
      </w:r>
      <w:r>
        <w:t xml:space="preserve">understanding of every soul must…. behold itself independent.</w:t>
      </w:r>
      <w:r>
        <w:t xml:space="preserve">”</w:t>
      </w:r>
      <w:r>
        <w:rPr>
          <w:rStyle w:val="FootnoteReference"/>
        </w:rPr>
        <w:footnoteReference w:id="578"/>
      </w:r>
      <w:r>
        <w:t xml:space="preserve"> </w:t>
      </w:r>
      <w:r>
        <w:t xml:space="preserve">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both a prosecutor and defender to cross-examine evidence while presenting their cases. We have the responsibility to do the spiritual work ourselves, not to defer it to others.</w:t>
      </w:r>
    </w:p>
    <w:p>
      <w:pPr>
        <w:pStyle w:val="BodyText"/>
      </w:pPr>
      <w:r>
        <w:rPr>
          <w:iCs/>
          <w:i/>
        </w:rPr>
        <w:t xml:space="preserve">Reflection: What changes when you refuse borrowed eyes and borrowed ears?</w:t>
      </w:r>
    </w:p>
    <w:p>
      <w:pPr>
        <w:pStyle w:val="BodyText"/>
      </w:pPr>
      <w:r>
        <w:t xml:space="preserve">With independent seeking established, we can now state the first explicit right that follows from it.</w:t>
      </w:r>
    </w:p>
    <w:bookmarkEnd w:id="579"/>
    <w:bookmarkStart w:id="580" w:name="right-to-belief"/>
    <w:p>
      <w:pPr>
        <w:pStyle w:val="Heading2"/>
      </w:pPr>
      <w:r>
        <w:t xml:space="preserve">15.5 Right to Belief</w:t>
      </w:r>
    </w:p>
    <w:p>
      <w:pPr>
        <w:pStyle w:val="FirstParagraph"/>
      </w:pPr>
      <w:r>
        <w:t xml:space="preserve">Every mature person has a right to believe as they wish, even if Bahá’u’lláh says this comes with consequences. You may not believe in anything in Part 1 of this book, or you may have partial belief. You might even believe in Bahá’u’lláh but be part of an organization which claims infallibility. This is your right. Bahá’u’lláh says it is the responsibility of every mature adult to reflect on what people adhere to, see with one’s own eyes, and react from there. His hope is to be one with the People of Bahá, but this hope comes without coercion.</w:t>
      </w:r>
    </w:p>
    <w:p>
      <w:pPr>
        <w:pStyle w:val="BodyText"/>
      </w:pPr>
      <w:r>
        <w:t xml:space="preserve">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pPr>
        <w:pStyle w:val="BodyText"/>
      </w:pPr>
      <w:r>
        <w:rPr>
          <w:iCs/>
          <w:i/>
        </w:rPr>
        <w:t xml:space="preserve">Reflection: If belief cannot be coerced, what kind of accountability can still be asked of the soul?</w:t>
      </w:r>
    </w:p>
    <w:p>
      <w:pPr>
        <w:pStyle w:val="BodyText"/>
      </w:pPr>
      <w:r>
        <w:t xml:space="preserve">From here, we can name the core accountabilities that shape devotion into conduct.</w:t>
      </w:r>
    </w:p>
    <w:bookmarkEnd w:id="580"/>
    <w:bookmarkStart w:id="584" w:name="spiritual-accountability"/>
    <w:p>
      <w:pPr>
        <w:pStyle w:val="Heading2"/>
      </w:pPr>
      <w:r>
        <w:t xml:space="preserve">15.6 Spiritual Accountability</w:t>
      </w:r>
    </w:p>
    <w:p>
      <w:pPr>
        <w:pStyle w:val="FirstParagraph"/>
      </w:pPr>
      <w:r>
        <w:t xml:space="preserve">There are various guidelines in the Kitáb-i-Aqdas which focus on aspects of spiritual accountability. For each guideline, they will be presented as both a right and responsibility.</w:t>
      </w:r>
    </w:p>
    <w:bookmarkStart w:id="581" w:name="looking-inward"/>
    <w:p>
      <w:pPr>
        <w:pStyle w:val="Heading3"/>
      </w:pPr>
      <w:r>
        <w:t xml:space="preserve">15.6.1 Looking Inward</w:t>
      </w:r>
    </w:p>
    <w:p>
      <w:pPr>
        <w:pStyle w:val="FirstParagraph"/>
      </w:pPr>
      <w:r>
        <w:t xml:space="preserve">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including the Most Subtle. These four accountabilities share a common thread. The soul must be oriented toward God before it can look anywhere else.</w:t>
      </w:r>
    </w:p>
    <w:bookmarkEnd w:id="581"/>
    <w:bookmarkStart w:id="582" w:name="looking-outward"/>
    <w:p>
      <w:pPr>
        <w:pStyle w:val="Heading3"/>
      </w:pPr>
      <w:r>
        <w:t xml:space="preserve">15.6.2 Looking Outward</w:t>
      </w:r>
    </w:p>
    <w:p>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bookmarkEnd w:id="582"/>
    <w:bookmarkStart w:id="583" w:name="action"/>
    <w:p>
      <w:pPr>
        <w:pStyle w:val="Heading3"/>
      </w:pPr>
      <w:r>
        <w:t xml:space="preserve">15.6.3 Action</w:t>
      </w:r>
    </w:p>
    <w:p>
      <w:pPr>
        <w:pStyle w:val="FirstParagraph"/>
      </w:pPr>
      <w:r>
        <w:t xml:space="preserve">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pPr>
        <w:pStyle w:val="BodyText"/>
      </w:pPr>
      <w:r>
        <w:rPr>
          <w:iCs/>
          <w:i/>
        </w:rPr>
        <w:t xml:space="preserve">Reflection: When you speak of maturity, do you mean legal adulthood or the soul’s growth into discernment?</w:t>
      </w:r>
    </w:p>
    <w:p>
      <w:pPr>
        <w:pStyle w:val="BodyText"/>
      </w:pPr>
      <w:r>
        <w:t xml:space="preserve">Next we widen the lens to spiritual maturity, where law becomes symbol and devotion becomes station.</w:t>
      </w:r>
    </w:p>
    <w:bookmarkEnd w:id="583"/>
    <w:bookmarkEnd w:id="584"/>
    <w:bookmarkStart w:id="589" w:name="the-right-to-spiritual-maturity"/>
    <w:p>
      <w:pPr>
        <w:pStyle w:val="Heading2"/>
      </w:pPr>
      <w:r>
        <w:t xml:space="preserve">15.7 The Right to Spiritual Maturity</w:t>
      </w:r>
    </w:p>
    <w:p>
      <w:pPr>
        <w:pStyle w:val="FirstParagraph"/>
      </w:pPr>
      <w:r>
        <w:t xml:space="preserve">The writings of Bahá’u’lláh often refer to another kind of maturity, spiritual maturity. Even if you have reached maturity in the traditional sense, it does not mean you have reached spiritual maturity. To help describe what spiritual maturity is, Bahá’u’lláh uses the traditional descriptions of maturity as symbols for the spiritual side.</w:t>
      </w:r>
    </w:p>
    <w:p>
      <w:pPr>
        <w:pStyle w:val="BodyText"/>
      </w:pPr>
      <w:r>
        <w:t xml:space="preserve">The Kitáb-i-Badí‘ is the largest single book by Bahá’u’lláh, written in response to questions from a man who followed Ṣubḥ-i-Azal, denying belief in Bahá’u’lláh as a Manifestation of God. This section will not go into a discussion of Ṣubḥ-i-Azal until Chapter 24</w:t>
      </w:r>
      <w:r>
        <w:t xml:space="preserve"> </w:t>
      </w:r>
      <w:r>
        <w:t xml:space="preserve">“</w:t>
      </w:r>
      <w:r>
        <w:t xml:space="preserve">Spiritual Leadership.</w:t>
      </w:r>
      <w:r>
        <w:t xml:space="preserve">”</w:t>
      </w:r>
      <w:r>
        <w:t xml:space="preserve"> </w:t>
      </w:r>
      <w:r>
        <w:t xml:space="preserve">A significant portion of this book discusses the conditions and reasons for lack of belief in individuals, especially those who are led by those who claim belief in God yet are spiritually corrupt.</w:t>
      </w:r>
    </w:p>
    <w:p>
      <w:pPr>
        <w:pStyle w:val="BodyText"/>
      </w:pPr>
      <w:r>
        <w:t xml:space="preserve">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w:t>
      </w:r>
      <w:r>
        <w:t xml:space="preserve"> </w:t>
      </w:r>
      <w:r>
        <w:t xml:space="preserve">“</w:t>
      </w:r>
      <w:r>
        <w:t xml:space="preserve">most today are considered infants before God.</w:t>
      </w:r>
      <w:r>
        <w:t xml:space="preserve">”</w:t>
      </w:r>
      <w:r>
        <w:t xml:space="preserve"> </w:t>
      </w:r>
      <w:r>
        <w:t xml:space="preserve">Part of this lack of maturity is due to their constellation of virtues not being valued, such as the virtue of heedfulness. A sign of maturation is belief in the Manifestation of God.</w:t>
      </w:r>
    </w:p>
    <w:p>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life, such as these rights and responsibilities being discussed. The weak and immature are easily led astray by others who fabricate such distortions.</w:t>
      </w:r>
      <w:r>
        <w:rPr>
          <w:rStyle w:val="FootnoteReference"/>
        </w:rPr>
        <w:footnoteReference w:id="585"/>
      </w:r>
    </w:p>
    <w:p>
      <w:pPr>
        <w:pStyle w:val="BodyText"/>
      </w:pPr>
      <w:r>
        <w:t xml:space="preserve">The rights and responsibilities of spiritual accountability from the Kitáb-i-Aqdas form the foundation of spiritual maturity. Even if you do not believe in Bahá’u’lláh, these principles are incredibly vital to your spiritual health. I personally believe that if any person who is part of any religion is able to see what is from God as the source, they have a great chance to reach spiritual maturity. What I mean is that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w:t>
      </w:r>
      <w:r>
        <w:t xml:space="preserve"> </w:t>
      </w:r>
      <w:r>
        <w:t xml:space="preserve">“</w:t>
      </w:r>
      <w:r>
        <w:t xml:space="preserve">Today, knowledge and ignorance, high and low, nearness and distance, truth and falsehood, life and death, maturity and infancy, wisdom and heedlessness, are all distinguished by the confirmation of the manifestation.</w:t>
      </w:r>
      <w:r>
        <w:t xml:space="preserve">”</w:t>
      </w:r>
      <w:r>
        <w:rPr>
          <w:rStyle w:val="FootnoteReference"/>
        </w:rPr>
        <w:footnoteReference w:id="586"/>
      </w:r>
      <w:r>
        <w:t xml:space="preserve"> </w:t>
      </w:r>
      <w:r>
        <w:t xml:space="preserve">With this said, I do believe in what the Kitáb-i-Aqdas says in its opening about believing in the Manifestation of God in this age. God says this is the source of all spiritual maturity.</w:t>
      </w:r>
    </w:p>
    <w:p>
      <w:pPr>
        <w:pStyle w:val="BodyText"/>
      </w:pPr>
      <w:r>
        <w:t xml:space="preserve">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587"/>
      </w:r>
      <w:r>
        <w:t xml:space="preserve"> </w:t>
      </w:r>
      <w:r>
        <w:t xml:space="preserve">An associated responsibility is for a person to no longer be moved by desires and illusions.</w:t>
      </w:r>
      <w:r>
        <w:rPr>
          <w:rStyle w:val="FootnoteReference"/>
        </w:rPr>
        <w:footnoteReference w:id="588"/>
      </w:r>
    </w:p>
    <w:p>
      <w:pPr>
        <w:pStyle w:val="BodyText"/>
      </w:pPr>
      <w:r>
        <w:rPr>
          <w:iCs/>
          <w:i/>
        </w:rPr>
        <w:t xml:space="preserve">Reflection: If spiritual maturity is a station, what obligations does it place on your speech and your influence?</w:t>
      </w:r>
    </w:p>
    <w:p>
      <w:pPr>
        <w:pStyle w:val="BodyText"/>
      </w:pPr>
      <w:r>
        <w:t xml:space="preserve">Now we can name the responsibilities that belong to maturity in its spiritual sense.</w:t>
      </w:r>
    </w:p>
    <w:bookmarkEnd w:id="589"/>
    <w:bookmarkStart w:id="593" w:name="responsibilities-of-spiritual-maturity"/>
    <w:p>
      <w:pPr>
        <w:pStyle w:val="Heading2"/>
      </w:pPr>
      <w:r>
        <w:t xml:space="preserve">15.8 Responsibilities of Spiritual Maturity</w:t>
      </w:r>
    </w:p>
    <w:p>
      <w:pPr>
        <w:pStyle w:val="FirstParagraph"/>
      </w:pPr>
      <w:r>
        <w:t xml:space="preserve">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590"/>
      </w:r>
      <w:r>
        <w:t xml:space="preserve"> </w:t>
      </w:r>
      <w:r>
        <w:t xml:space="preserve">Bahá’u’lláh says a person can do this by purifying their soul from the world, not speaking of what they do not know, and refraining from mentioning what they do not understand. It is acceptable not to know everything. It is also acceptable to stay away from being placed on a pedestal. It would be worse if you placed yourself, or allowed others to place you in a position which replaces the Manifestation of God.</w:t>
      </w:r>
    </w:p>
    <w:p>
      <w:pPr>
        <w:pStyle w:val="BodyText"/>
      </w:pPr>
      <w:r>
        <w:t xml:space="preserve">The next responsibility for a spiritually mature person is to convey God’s Cause.</w:t>
      </w:r>
      <w:r>
        <w:rPr>
          <w:rStyle w:val="FootnoteReference"/>
        </w:rPr>
        <w:footnoteReference w:id="591"/>
      </w:r>
      <w:r>
        <w:t xml:space="preserve"> </w:t>
      </w:r>
      <w:r>
        <w:t xml:space="preserve">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pPr>
        <w:pStyle w:val="BlockText"/>
      </w:pPr>
      <w:r>
        <w:t xml:space="preserve">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592"/>
      </w:r>
    </w:p>
    <w:p>
      <w:pPr>
        <w:pStyle w:val="FirstParagraph"/>
      </w:pPr>
      <w:r>
        <w:rPr>
          <w:iCs/>
          <w:i/>
        </w:rPr>
        <w:t xml:space="preserve">Reflection: If maturity is stewardship, what does it ask you to protect in those still growing?</w:t>
      </w:r>
    </w:p>
    <w:p>
      <w:pPr>
        <w:pStyle w:val="BodyText"/>
      </w:pPr>
      <w:r>
        <w:t xml:space="preserve">To close, we return to your core pattern, and carry it forward into the private life of the mature soul.</w:t>
      </w:r>
    </w:p>
    <w:bookmarkEnd w:id="593"/>
    <w:bookmarkStart w:id="594" w:name="conclusion-3"/>
    <w:p>
      <w:pPr>
        <w:pStyle w:val="Heading2"/>
      </w:pPr>
      <w:r>
        <w:t xml:space="preserve">15.9 Conclusion</w:t>
      </w:r>
    </w:p>
    <w:p>
      <w:pPr>
        <w:pStyle w:val="FirstParagraph"/>
      </w:pPr>
      <w:r>
        <w:t xml:space="preserve">Maturity is a right and itself marks the beginning of great responsibility. When combined with our constellation of virtues and our increased awareness of God’s names and attributes, we can be sure to develop both our legal status of maturity and our spiritual station of maturity. This pattern of maturity exists in every layer of creation, exists within manifestation and command, and is a pattern I have leaned into greatly when writing this book. Everything is within this cycle of maturity, including you and me. We must be careful to recognize, respect, and honor that which is not mature. The mature are the trustees of the immature. If the devotional identity is real, it will show itself first as lawful restraint, then as moral clarity, then as steady service.</w:t>
      </w:r>
    </w:p>
    <w:p>
      <w:pPr>
        <w:pStyle w:val="BodyText"/>
      </w:pPr>
      <w:r>
        <w:t xml:space="preserve">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r>
        <w:br w:type="page"/>
      </w:r>
    </w:p>
    <w:bookmarkEnd w:id="594"/>
    <w:bookmarkEnd w:id="595"/>
    <w:bookmarkStart w:id="639" w:name="the-private-self"/>
    <w:p>
      <w:pPr>
        <w:pStyle w:val="Heading1"/>
      </w:pPr>
      <w:r>
        <w:t xml:space="preserve">16. The Private Self</w:t>
      </w:r>
    </w:p>
    <w:p>
      <w:pPr>
        <w:pStyle w:val="FirstParagraph"/>
      </w:pPr>
      <w:r>
        <w:t xml:space="preserve">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pPr>
        <w:pStyle w:val="BodyText"/>
      </w:pPr>
      <w:r>
        <w:t xml:space="preserve">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on public social media, or in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psycho-spiritual framework for the liberation of the soul.</w:t>
      </w:r>
    </w:p>
    <w:bookmarkStart w:id="596" w:name="Xefa14bc45e2520be3101a78a13207deb3fb28d3"/>
    <w:p>
      <w:pPr>
        <w:pStyle w:val="Heading2"/>
      </w:pPr>
      <w:r>
        <w:t xml:space="preserve">16.1 Responsibilities Associated With Premature Rights</w:t>
      </w:r>
    </w:p>
    <w:p>
      <w:pPr>
        <w:pStyle w:val="FirstParagraph"/>
      </w:pPr>
      <w:r>
        <w:t xml:space="preserve">With maturity, there are some responsibilities a person will carry into their private life. The associated rights were described earlier in Chapter 14, From Birth to Maturity. I will list these in this section, and as this chapter unfolds, some of these will be more fully discussed.</w:t>
      </w:r>
    </w:p>
    <w:p>
      <w:pPr>
        <w:numPr>
          <w:ilvl w:val="0"/>
          <w:numId w:val="1003"/>
        </w:numPr>
        <w:pStyle w:val="Compact"/>
      </w:pPr>
      <w:r>
        <w:t xml:space="preserve">The responsibility of life</w:t>
      </w:r>
    </w:p>
    <w:p>
      <w:pPr>
        <w:numPr>
          <w:ilvl w:val="0"/>
          <w:numId w:val="1003"/>
        </w:numPr>
        <w:pStyle w:val="Compact"/>
      </w:pPr>
      <w:r>
        <w:t xml:space="preserve">The responsibility of identity</w:t>
      </w:r>
    </w:p>
    <w:p>
      <w:pPr>
        <w:numPr>
          <w:ilvl w:val="0"/>
          <w:numId w:val="1003"/>
        </w:numPr>
        <w:pStyle w:val="Compact"/>
      </w:pPr>
      <w:r>
        <w:t xml:space="preserve">The responsibility of purity</w:t>
      </w:r>
    </w:p>
    <w:p>
      <w:pPr>
        <w:numPr>
          <w:ilvl w:val="0"/>
          <w:numId w:val="1003"/>
        </w:numPr>
        <w:pStyle w:val="Compact"/>
      </w:pPr>
      <w:r>
        <w:t xml:space="preserve">The responsibility of a dignified appearance</w:t>
      </w:r>
    </w:p>
    <w:p>
      <w:pPr>
        <w:numPr>
          <w:ilvl w:val="0"/>
          <w:numId w:val="1003"/>
        </w:numPr>
        <w:pStyle w:val="Compact"/>
      </w:pPr>
      <w:r>
        <w:t xml:space="preserve">The responsibility of love and kindness</w:t>
      </w:r>
    </w:p>
    <w:p>
      <w:pPr>
        <w:numPr>
          <w:ilvl w:val="0"/>
          <w:numId w:val="1003"/>
        </w:numPr>
        <w:pStyle w:val="Compact"/>
      </w:pPr>
      <w:r>
        <w:t xml:space="preserve">The responsibility to not oppress, to include lewdness, pederasty, physical harm, emotional harm, provision, hatred, corruption, tyranny, and justice.</w:t>
      </w:r>
    </w:p>
    <w:p>
      <w:pPr>
        <w:numPr>
          <w:ilvl w:val="0"/>
          <w:numId w:val="1003"/>
        </w:numPr>
        <w:pStyle w:val="Compact"/>
      </w:pPr>
      <w:r>
        <w:t xml:space="preserve">The responsibility to have a skilled physician</w:t>
      </w:r>
    </w:p>
    <w:p>
      <w:pPr>
        <w:numPr>
          <w:ilvl w:val="0"/>
          <w:numId w:val="1003"/>
        </w:numPr>
        <w:pStyle w:val="Compact"/>
      </w:pPr>
      <w:r>
        <w:t xml:space="preserve">The responsibility to education</w:t>
      </w:r>
    </w:p>
    <w:p>
      <w:pPr>
        <w:numPr>
          <w:ilvl w:val="0"/>
          <w:numId w:val="1003"/>
        </w:numPr>
        <w:pStyle w:val="Compact"/>
      </w:pPr>
      <w:r>
        <w:t xml:space="preserve">The responsibility of the Minor Trust</w:t>
      </w:r>
    </w:p>
    <w:p>
      <w:pPr>
        <w:pStyle w:val="FirstParagraph"/>
      </w:pPr>
      <w:r>
        <w:rPr>
          <w:iCs/>
          <w:i/>
        </w:rPr>
        <w:t xml:space="preserve">Reflection: What have you allowed to shape your private reality?</w:t>
      </w:r>
    </w:p>
    <w:p>
      <w:pPr>
        <w:pStyle w:val="BodyText"/>
      </w:pPr>
      <w:r>
        <w:t xml:space="preserve">The next section names the main threat to private reality, which is illusion.</w:t>
      </w:r>
    </w:p>
    <w:bookmarkEnd w:id="596"/>
    <w:bookmarkStart w:id="599" w:name="X1f45706ca40fd8f85c7b1a73cb099d601f0b270"/>
    <w:p>
      <w:pPr>
        <w:pStyle w:val="Heading2"/>
      </w:pPr>
      <w:r>
        <w:t xml:space="preserve">16.2 The Right and Responsibility to Be Free From Illusions</w:t>
      </w:r>
    </w:p>
    <w:p>
      <w:pPr>
        <w:pStyle w:val="FirstParagraph"/>
      </w:pPr>
      <w:r>
        <w:t xml:space="preserve">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pPr>
        <w:pStyle w:val="BodyText"/>
      </w:pPr>
      <w:r>
        <w:t xml:space="preserve">The Kitáb-i-Aqdas describes illusions as idols of our desires.</w:t>
      </w:r>
      <w:r>
        <w:rPr>
          <w:rStyle w:val="FootnoteReference"/>
        </w:rPr>
        <w:footnoteReference w:id="597"/>
      </w:r>
      <w:r>
        <w:t xml:space="preserve"> </w:t>
      </w:r>
      <w:r>
        <w:t xml:space="preserve">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creates these illusions. If we consider our constellation of virtues, conjecture hides reason. What is more damaging is feeling joy or happiness from such illusions. What if we create illusions about a loved one which negatively affect how we perceive that love?</w:t>
      </w:r>
    </w:p>
    <w:p>
      <w:pPr>
        <w:pStyle w:val="BodyText"/>
      </w:pPr>
      <w:r>
        <w:t xml:space="preserve">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598"/>
      </w:r>
      <w:r>
        <w:t xml:space="preserve"> </w:t>
      </w:r>
      <w:r>
        <w:t xml:space="preserve">are one way illusions affect how we approach truth, especially if it reaches the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w:t>
      </w:r>
      <w:r>
        <w:t xml:space="preserve"> </w:t>
      </w:r>
      <w:r>
        <w:t xml:space="preserve">“</w:t>
      </w:r>
      <w:r>
        <w:t xml:space="preserve">I am unworthy of love,</w:t>
      </w:r>
      <w:r>
        <w:t xml:space="preserve">”</w:t>
      </w:r>
      <w:r>
        <w:t xml:space="preserve"> </w:t>
      </w:r>
      <w:r>
        <w:t xml:space="preserve">“</w:t>
      </w:r>
      <w:r>
        <w:t xml:space="preserve">I am always a victim,</w:t>
      </w:r>
      <w:r>
        <w:t xml:space="preserve">”</w:t>
      </w:r>
      <w:r>
        <w:t xml:space="preserve"> </w:t>
      </w:r>
      <w:r>
        <w:t xml:space="preserve">or</w:t>
      </w:r>
      <w:r>
        <w:t xml:space="preserve"> </w:t>
      </w:r>
      <w:r>
        <w:t xml:space="preserve">“</w:t>
      </w:r>
      <w:r>
        <w:t xml:space="preserve">I deserve shame and humiliation</w:t>
      </w:r>
      <w:r>
        <w:t xml:space="preserve">”</w:t>
      </w:r>
      <w:r>
        <w:t xml:space="preserve"> </w:t>
      </w:r>
      <w:r>
        <w:t xml:space="preserve">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pPr>
        <w:pStyle w:val="BodyText"/>
      </w:pPr>
      <w:r>
        <w:rPr>
          <w:iCs/>
          <w:i/>
        </w:rPr>
        <w:t xml:space="preserve">Reflection: Who are you privately following, and why?</w:t>
      </w:r>
    </w:p>
    <w:p>
      <w:pPr>
        <w:pStyle w:val="BodyText"/>
      </w:pPr>
      <w:r>
        <w:t xml:space="preserve">The next section applies illusion to influence, especially miserable influence.</w:t>
      </w:r>
    </w:p>
    <w:bookmarkEnd w:id="599"/>
    <w:bookmarkStart w:id="601" w:name="X9ada0953a31f2e01ae40a8cc2c464076a5d6612"/>
    <w:p>
      <w:pPr>
        <w:pStyle w:val="Heading2"/>
      </w:pPr>
      <w:r>
        <w:t xml:space="preserve">16.3 The Right and Responsibility To Not Be Wretched</w:t>
      </w:r>
    </w:p>
    <w:p>
      <w:pPr>
        <w:pStyle w:val="FirstParagraph"/>
      </w:pPr>
      <w:r>
        <w:t xml:space="preserve">The Kitáb-i-Aqdas tells us not to follow a wretched one.</w:t>
      </w:r>
      <w:r>
        <w:rPr>
          <w:rStyle w:val="FootnoteReference"/>
        </w:rPr>
        <w:footnoteReference w:id="600"/>
      </w:r>
      <w:r>
        <w:t xml:space="preserve"> </w:t>
      </w:r>
      <w:r>
        <w:t xml:space="preserve">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Is whoever influencing me authentic and sincere? When we are alone or having private thoughts, what type of person has influenced this precious time and mental resources?</w:t>
      </w:r>
    </w:p>
    <w:p>
      <w:pPr>
        <w:pStyle w:val="BodyText"/>
      </w:pPr>
      <w:r>
        <w:t xml:space="preserve">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pPr>
        <w:pStyle w:val="BodyText"/>
      </w:pPr>
      <w:r>
        <w:rPr>
          <w:iCs/>
          <w:i/>
        </w:rPr>
        <w:t xml:space="preserve">Reflection: Where do you apply strictness to others that you refuse for yourself?</w:t>
      </w:r>
    </w:p>
    <w:p>
      <w:pPr>
        <w:pStyle w:val="BodyText"/>
      </w:pPr>
      <w:r>
        <w:t xml:space="preserve">The next section treats tyranny as a private pattern before it becomes public harm.</w:t>
      </w:r>
    </w:p>
    <w:bookmarkEnd w:id="601"/>
    <w:bookmarkStart w:id="607" w:name="X51704d0e94133ab9353df306b97bdd13fcfbddf"/>
    <w:p>
      <w:pPr>
        <w:pStyle w:val="Heading2"/>
      </w:pPr>
      <w:r>
        <w:t xml:space="preserve">16.4 The Right and Responsibility To Not Be a Tyrant</w:t>
      </w:r>
    </w:p>
    <w:p>
      <w:pPr>
        <w:pStyle w:val="FirstParagraph"/>
      </w:pPr>
      <w:r>
        <w:t xml:space="preserve">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that a person does not deserve a right merely because of another illusion such as race? This betrays the very Cause of God. Imagining any person can be deprived of rights you want to keep is tyranny, even if you do not have the power to act on it. Bahá’u’lláh says</w:t>
      </w:r>
      <w:r>
        <w:t xml:space="preserve"> </w:t>
      </w:r>
      <w:r>
        <w:t xml:space="preserve">“</w:t>
      </w:r>
      <w:r>
        <w:t xml:space="preserve">Do not be preoccupied with yourself,</w:t>
      </w:r>
      <w:r>
        <w:rPr>
          <w:rStyle w:val="FootnoteReference"/>
        </w:rPr>
        <w:footnoteReference w:id="602"/>
      </w:r>
      <w:r>
        <w:t xml:space="preserve"> </w:t>
      </w:r>
      <w:r>
        <w:t xml:space="preserve">be in the thought of improving the world and refining nations.</w:t>
      </w:r>
      <w:r>
        <w:t xml:space="preserve">”</w:t>
      </w:r>
      <w:r>
        <w:t xml:space="preserve"> </w:t>
      </w:r>
      <w:r>
        <w:t xml:space="preserve">He further adds to</w:t>
      </w:r>
      <w:r>
        <w:t xml:space="preserve"> </w:t>
      </w:r>
      <w:r>
        <w:t xml:space="preserve">“</w:t>
      </w:r>
      <w:r>
        <w:t xml:space="preserve">desire not for anyone what you would not desire for yourselves.</w:t>
      </w:r>
      <w:r>
        <w:t xml:space="preserve">”</w:t>
      </w:r>
      <w:r>
        <w:rPr>
          <w:rStyle w:val="FootnoteReference"/>
        </w:rPr>
        <w:footnoteReference w:id="603"/>
      </w:r>
      <w:r>
        <w:t xml:space="preserve"> </w:t>
      </w:r>
      <w:r>
        <w:t xml:space="preserve">Any thought or feeling which interferes with this responsibility is an illusion.</w:t>
      </w:r>
    </w:p>
    <w:p>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for scholars</w:t>
      </w:r>
      <w:r>
        <w:rPr>
          <w:rStyle w:val="FootnoteReference"/>
        </w:rPr>
        <w:footnoteReference w:id="604"/>
      </w:r>
      <w:r>
        <w:t xml:space="preserve"> </w:t>
      </w:r>
      <w:r>
        <w:t xml:space="preserve">and sovereign leaders</w:t>
      </w:r>
      <w:r>
        <w:rPr>
          <w:rStyle w:val="FootnoteReference"/>
        </w:rPr>
        <w:footnoteReference w:id="605"/>
      </w:r>
      <w:r>
        <w:t xml:space="preserve"> </w:t>
      </w:r>
      <w:r>
        <w:t xml:space="preserve">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606"/>
      </w:r>
    </w:p>
    <w:p>
      <w:pPr>
        <w:pStyle w:val="BodyText"/>
      </w:pPr>
      <w:r>
        <w:rPr>
          <w:iCs/>
          <w:i/>
        </w:rPr>
        <w:t xml:space="preserve">Reflection: Which desire most often becomes your idol?</w:t>
      </w:r>
    </w:p>
    <w:p>
      <w:pPr>
        <w:pStyle w:val="BodyText"/>
      </w:pPr>
      <w:r>
        <w:t xml:space="preserve">The next section names self and desire as boundaries that impersonate freedom.</w:t>
      </w:r>
    </w:p>
    <w:bookmarkEnd w:id="607"/>
    <w:bookmarkStart w:id="610" w:name="break-the-boundaries-of-self-and-desire"/>
    <w:p>
      <w:pPr>
        <w:pStyle w:val="Heading2"/>
      </w:pPr>
      <w:r>
        <w:t xml:space="preserve">16.5 Break the Boundaries of Self and Desire</w:t>
      </w:r>
    </w:p>
    <w:p>
      <w:pPr>
        <w:pStyle w:val="FirstParagraph"/>
      </w:pPr>
      <w:r>
        <w:t xml:space="preserve">Earlier in the chapter we shared Bahá’u’lláh’s teaching about how illusions are the idols of desires. Idols are often considered objects worshiped as false gods, such as the golden calf created by the Hebrews while Moses was on a sojourn with God. Idols can also be things which are excessively adored to the point of being the primary driver of thoughts, feelings, and belief. Ultimately, all idols detract from God or from developing a personal relationship with all the names of God.</w:t>
      </w:r>
    </w:p>
    <w:p>
      <w:pPr>
        <w:pStyle w:val="BodyText"/>
      </w:pPr>
      <w:r>
        <w:t xml:space="preserve">Like delusions, we are to break the boundaries of self and desire.</w:t>
      </w:r>
      <w:r>
        <w:rPr>
          <w:rStyle w:val="FootnoteReference"/>
        </w:rPr>
        <w:footnoteReference w:id="608"/>
      </w:r>
      <w:r>
        <w:t xml:space="preserve"> </w:t>
      </w:r>
      <w:r>
        <w:t xml:space="preserve">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are a source of division among people.</w:t>
      </w:r>
      <w:r>
        <w:rPr>
          <w:rStyle w:val="FootnoteReference"/>
        </w:rPr>
        <w:footnoteReference w:id="609"/>
      </w:r>
      <w:r>
        <w:t xml:space="preserve"> </w:t>
      </w:r>
      <w:r>
        <w:t xml:space="preserve">Division and unity start with who we are in private.</w:t>
      </w:r>
    </w:p>
    <w:p>
      <w:pPr>
        <w:pStyle w:val="BodyText"/>
      </w:pPr>
      <w:r>
        <w:rPr>
          <w:iCs/>
          <w:i/>
        </w:rPr>
        <w:t xml:space="preserve">Reflection: Which parts of your identity feel permanent, and why?</w:t>
      </w:r>
    </w:p>
    <w:p>
      <w:pPr>
        <w:pStyle w:val="BodyText"/>
      </w:pPr>
      <w:r>
        <w:t xml:space="preserve">The next section defines the self in practical terms so you can see what must be refined.</w:t>
      </w:r>
    </w:p>
    <w:bookmarkEnd w:id="610"/>
    <w:bookmarkStart w:id="611" w:name="the-self"/>
    <w:p>
      <w:pPr>
        <w:pStyle w:val="Heading2"/>
      </w:pPr>
      <w:r>
        <w:t xml:space="preserve">16.6 The Self</w:t>
      </w:r>
    </w:p>
    <w:p>
      <w:pPr>
        <w:pStyle w:val="FirstParagraph"/>
      </w:pPr>
      <w:r>
        <w:t xml:space="preserve">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pPr>
        <w:pStyle w:val="BodyText"/>
      </w:pPr>
      <w:r>
        <w:t xml:space="preserve">This can include personality traits such as being an introvert or extrovert, your placement on a personality profile like a Jung typology, a zodiac profile, or even something simple such as saying you are a happy person. These are habitual ways we use to shape our identity. These habits could vary between our private self and the adapted social self, or they can remain consistent in both settings. To break a boundary of self, we must be willing to break these habits which do not benefit our soul or the souls of others.</w:t>
      </w:r>
    </w:p>
    <w:p>
      <w:pPr>
        <w:pStyle w:val="BodyText"/>
      </w:pPr>
      <w:r>
        <w:t xml:space="preserve">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pPr>
        <w:pStyle w:val="BodyText"/>
      </w:pPr>
      <w:r>
        <w:t xml:space="preserve">Our emotional disposition, such as baseline moods and tendencies, help shape the self. Optimism and pessimism, stability and instability, and empathy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pPr>
        <w:pStyle w:val="BodyText"/>
      </w:pPr>
      <w:r>
        <w:t xml:space="preserve">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whom we hope to be and the person whom we hope to present to others. To break the boundary of self, we must be willing to break these values, morals, and ethical commitments.</w:t>
      </w:r>
    </w:p>
    <w:p>
      <w:pPr>
        <w:pStyle w:val="BodyText"/>
      </w:pPr>
      <w:r>
        <w:t xml:space="preserve">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pPr>
        <w:pStyle w:val="BodyText"/>
      </w:pPr>
      <w:r>
        <w:t xml:space="preserve">Our social and relational attributes also comprise our characteristics of self. This can include interaction patterns such as dominance or submissiveness, giving or receiving, apathy or caring, or even cooperative or disruptive behavior. These attributes also include the roles we serve or identify with. Being a parent, leader, teacher, artist, athlete, or a member of groups such as religious membership, clubs, corporations, or NGOs become a part of our self-perception. To break the boundary of self, we must be willing to break the boundaries of social and relational attributes.</w:t>
      </w:r>
    </w:p>
    <w:p>
      <w:pPr>
        <w:pStyle w:val="BodyText"/>
      </w:pPr>
      <w:r>
        <w:rPr>
          <w:iCs/>
          <w:i/>
        </w:rPr>
        <w:t xml:space="preserve">Reflection: Which desire feels most rational, yet most controlling?</w:t>
      </w:r>
    </w:p>
    <w:p>
      <w:pPr>
        <w:pStyle w:val="BodyText"/>
      </w:pPr>
      <w:r>
        <w:t xml:space="preserve">The next section maps desire as a moral responsibility rather than a forbidden experience.</w:t>
      </w:r>
    </w:p>
    <w:bookmarkEnd w:id="611"/>
    <w:bookmarkStart w:id="635" w:name="desires"/>
    <w:p>
      <w:pPr>
        <w:pStyle w:val="Heading2"/>
      </w:pPr>
      <w:r>
        <w:t xml:space="preserve">16.7 Desires</w:t>
      </w:r>
    </w:p>
    <w:p>
      <w:pPr>
        <w:pStyle w:val="FirstParagraph"/>
      </w:pPr>
      <w:r>
        <w:t xml:space="preserve">Desires are a subject Bahá’u’lláh was deeply concerned about in the Kitáb-i-Aqdas. The idea of desires interfering in the spiritual and social pathways is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Kitáb-i-Aqdas has at least 17 different types of desires we are responsible for controlling. The next section will discuss these according to theme.</w:t>
      </w:r>
    </w:p>
    <w:bookmarkStart w:id="619" w:name="desires-of-status"/>
    <w:p>
      <w:pPr>
        <w:pStyle w:val="Heading3"/>
      </w:pPr>
      <w:r>
        <w:t xml:space="preserve">16.7.1 Desires of Status</w:t>
      </w:r>
    </w:p>
    <w:p>
      <w:pPr>
        <w:pStyle w:val="FirstParagraph"/>
      </w:pPr>
      <w:r>
        <w:t xml:space="preserve">Desires of status include a few aspects. The first would be in our station,</w:t>
      </w:r>
      <w:r>
        <w:rPr>
          <w:rStyle w:val="FootnoteReference"/>
        </w:rPr>
        <w:footnoteReference w:id="612"/>
      </w:r>
      <w:r>
        <w:t xml:space="preserve"> </w:t>
      </w:r>
      <w:r>
        <w:t xml:space="preserve">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613"/>
      </w:r>
    </w:p>
    <w:p>
      <w:pPr>
        <w:pStyle w:val="BodyText"/>
      </w:pPr>
      <w:r>
        <w:t xml:space="preserve">We also have a responsibility in our desire for might.</w:t>
      </w:r>
      <w:r>
        <w:rPr>
          <w:rStyle w:val="FootnoteReference"/>
        </w:rPr>
        <w:footnoteReference w:id="614"/>
      </w:r>
      <w:r>
        <w:t xml:space="preserve"> </w:t>
      </w:r>
      <w:r>
        <w:t xml:space="preserve">What is the purpose in wanting power over another? Is it to dominate or is it to protect those who are vulnerable? Bahá’u’lláh warns leaders such as Napoleon that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it only if we desire to serve God.</w:t>
      </w:r>
      <w:r>
        <w:rPr>
          <w:rStyle w:val="FootnoteReference"/>
        </w:rPr>
        <w:footnoteReference w:id="615"/>
      </w:r>
    </w:p>
    <w:p>
      <w:pPr>
        <w:pStyle w:val="BodyText"/>
      </w:pPr>
      <w:r>
        <w:t xml:space="preserve">One way we often demonstrate our status is through our wealth, or obvious presentation of wealth. Bahá’u’lláh warns us against desiring the treasures of the world.</w:t>
      </w:r>
      <w:r>
        <w:rPr>
          <w:rStyle w:val="FootnoteReference"/>
        </w:rPr>
        <w:footnoteReference w:id="616"/>
      </w:r>
      <w:r>
        <w:t xml:space="preserve"> </w:t>
      </w:r>
      <w:r>
        <w:t xml:space="preserve">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617"/>
      </w:r>
      <w:r>
        <w:t xml:space="preserve"> </w:t>
      </w:r>
      <w:r>
        <w:t xml:space="preserve">which can be fine clothing, jewelry, luxury goods, lavish homes, and other symbols. We have a right and responsibility to be refined in appearance, but not to be lavish.</w:t>
      </w:r>
    </w:p>
    <w:p>
      <w:pPr>
        <w:pStyle w:val="BodyText"/>
      </w:pPr>
      <w:r>
        <w:t xml:space="preserve">One final way we express the desire of wealth status is through inheritance. When we consider what we have and what we might leave behind, how do we consider others? We have a right to inherit</w:t>
      </w:r>
      <w:r>
        <w:rPr>
          <w:rStyle w:val="FootnoteReference"/>
        </w:rPr>
        <w:footnoteReference w:id="618"/>
      </w:r>
      <w:r>
        <w:t xml:space="preserve"> </w:t>
      </w:r>
      <w:r>
        <w:t xml:space="preserve">and a responsibility to give inheritance. Bahá’u’lláh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pPr>
        <w:pStyle w:val="BodyText"/>
      </w:pPr>
      <w:r>
        <w:t xml:space="preserve">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bookmarkEnd w:id="619"/>
    <w:bookmarkStart w:id="622" w:name="desires-of-knowledge"/>
    <w:p>
      <w:pPr>
        <w:pStyle w:val="Heading3"/>
      </w:pPr>
      <w:r>
        <w:t xml:space="preserve">16.7.2 Desires of Knowledge</w:t>
      </w:r>
    </w:p>
    <w:p>
      <w:pPr>
        <w:pStyle w:val="FirstParagraph"/>
      </w:pPr>
      <w:r>
        <w:t xml:space="preserve">There are three types of desires regarding knowledge for which we have a responsibility. Bahá’u’lláh does not want us to be proud of our knowledge.</w:t>
      </w:r>
      <w:r>
        <w:rPr>
          <w:rStyle w:val="FootnoteReference"/>
        </w:rPr>
        <w:footnoteReference w:id="620"/>
      </w:r>
      <w:r>
        <w:t xml:space="preserve"> </w:t>
      </w:r>
      <w:r>
        <w:t xml:space="preserve">This can be derived from our desire for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pPr>
        <w:pStyle w:val="BodyText"/>
      </w:pPr>
      <w:r>
        <w:t xml:space="preserve">Our knowledge helps shape how we respond within creation, especially our beliefs. When we are exercising our right to knowledge, we have the responsibility to prioritize our sources. No source is forbidden. Yet, Bahá’u’lláh does challenge us by asking which Qiblih will we turn toward?</w:t>
      </w:r>
      <w:r>
        <w:rPr>
          <w:rStyle w:val="FootnoteReference"/>
        </w:rPr>
        <w:footnoteReference w:id="621"/>
      </w:r>
      <w:r>
        <w:t xml:space="preserve"> </w:t>
      </w:r>
      <w:r>
        <w:t xml:space="preserve">Whichever source is our most adored source also becomes our source of belief and religion. Our responsibility is to ensure God and the Manifestation of God are our point of adoration for knowledge. To desire other sources more, we may struggle in our liberation of the soul.</w:t>
      </w:r>
    </w:p>
    <w:p>
      <w:pPr>
        <w:pStyle w:val="BodyText"/>
      </w:pPr>
      <w:r>
        <w:t xml:space="preserve">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a high probability of risk for the low possibility of reward. This can include games, but it can also include many other aspects of life. The desire for gambling stems from the idea that we have a secret knowledge which can beat those odds. The desire also replaces putting forth the effort to take actions with lower risk and better possibilities of long-term reward.</w:t>
      </w:r>
    </w:p>
    <w:p>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does not lead to harmful delusions which lead us and others astray.</w:t>
      </w:r>
    </w:p>
    <w:bookmarkEnd w:id="622"/>
    <w:bookmarkStart w:id="626" w:name="desires-of-self-interest"/>
    <w:p>
      <w:pPr>
        <w:pStyle w:val="Heading3"/>
      </w:pPr>
      <w:r>
        <w:t xml:space="preserve">16.7.3 Desires of Self-Interest</w:t>
      </w:r>
    </w:p>
    <w:p>
      <w:pPr>
        <w:pStyle w:val="FirstParagraph"/>
      </w:pPr>
      <w:r>
        <w:t xml:space="preserve">The Kitáb-i-Aqdas describes how we should view ourselves as the fingers of one hand and the limbs of one body.</w:t>
      </w:r>
      <w:r>
        <w:rPr>
          <w:rStyle w:val="FootnoteReference"/>
        </w:rPr>
        <w:footnoteReference w:id="623"/>
      </w:r>
      <w:r>
        <w:t xml:space="preserve"> </w:t>
      </w:r>
      <w:r>
        <w:t xml:space="preserve">This perspective starts in private. We have a right to self-interest, but there is a responsibility to the interests of those near to you. Mutual well-being requires a mutually shared interest in each other’s goals, dreams, aspirations, and health.</w:t>
      </w:r>
    </w:p>
    <w:p>
      <w:pPr>
        <w:pStyle w:val="BodyText"/>
      </w:pPr>
      <w:r>
        <w:t xml:space="preserve">Bahá’u’lláh says the affairs of self and desires can cause division. Some of these aspects have already been discussed earlier in this chapter. In addition to those ways, the desires of self-interest can also manifest in many other ways.</w:t>
      </w:r>
    </w:p>
    <w:p>
      <w:pPr>
        <w:pStyle w:val="BodyText"/>
      </w:pPr>
      <w:r>
        <w:t xml:space="preserve">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pPr>
        <w:pStyle w:val="BodyText"/>
      </w:pPr>
      <w:r>
        <w:t xml:space="preserve">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unity in diversity.</w:t>
      </w:r>
    </w:p>
    <w:p>
      <w:pPr>
        <w:pStyle w:val="BodyText"/>
      </w:pPr>
      <w:r>
        <w:t xml:space="preserve">Bahá’u’lláh says we should not desire for others what we would not desire for ourselves.</w:t>
      </w:r>
      <w:r>
        <w:rPr>
          <w:rStyle w:val="FootnoteReference"/>
        </w:rPr>
        <w:footnoteReference w:id="624"/>
      </w:r>
      <w:r>
        <w:t xml:space="preserve"> </w:t>
      </w:r>
      <w:r>
        <w:t xml:space="preserve">This is a great expression of the Golden Rule. We have a right to desire something for ourselves, but we have a responsibility to desire a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pPr>
        <w:pStyle w:val="BodyText"/>
      </w:pPr>
      <w:r>
        <w:t xml:space="preserve">To close this section on self-interest, we have a right to be free from hatred and a responsibility to never hold hatred within us.</w:t>
      </w:r>
      <w:r>
        <w:rPr>
          <w:rStyle w:val="FootnoteReference"/>
        </w:rPr>
        <w:footnoteReference w:id="625"/>
      </w:r>
      <w:r>
        <w:t xml:space="preserve"> </w:t>
      </w:r>
      <w:r>
        <w:t xml:space="preserve">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bookmarkEnd w:id="626"/>
    <w:bookmarkStart w:id="634" w:name="desires-of-the-body"/>
    <w:p>
      <w:pPr>
        <w:pStyle w:val="Heading3"/>
      </w:pPr>
      <w:r>
        <w:t xml:space="preserve">16.7.4 Desires of the Body</w:t>
      </w:r>
    </w:p>
    <w:p>
      <w:pPr>
        <w:pStyle w:val="FirstParagraph"/>
      </w:pPr>
      <w:r>
        <w:t xml:space="preserve">The final section about desire will discuss the desires of the body. Bahá’u’lláh expresses specific commands regarding food and drink,</w:t>
      </w:r>
      <w:r>
        <w:rPr>
          <w:rStyle w:val="FootnoteReference"/>
        </w:rPr>
        <w:footnoteReference w:id="627"/>
      </w:r>
      <w:r>
        <w:t xml:space="preserve"> </w:t>
      </w:r>
      <w:r>
        <w:t xml:space="preserve">drugs such as opium,</w:t>
      </w:r>
      <w:r>
        <w:rPr>
          <w:rStyle w:val="FootnoteReference"/>
        </w:rPr>
        <w:footnoteReference w:id="628"/>
      </w:r>
      <w:r>
        <w:t xml:space="preserve"> </w:t>
      </w:r>
      <w:r>
        <w:t xml:space="preserve">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pPr>
        <w:numPr>
          <w:ilvl w:val="0"/>
          <w:numId w:val="1004"/>
        </w:numPr>
        <w:pStyle w:val="Compact"/>
      </w:pPr>
      <w:r>
        <w:t xml:space="preserve">Do not eat except when hungry</w:t>
      </w:r>
    </w:p>
    <w:p>
      <w:pPr>
        <w:numPr>
          <w:ilvl w:val="0"/>
          <w:numId w:val="1004"/>
        </w:numPr>
        <w:pStyle w:val="Compact"/>
      </w:pPr>
      <w:r>
        <w:t xml:space="preserve">Do not drink except when thirsty</w:t>
      </w:r>
    </w:p>
    <w:p>
      <w:pPr>
        <w:numPr>
          <w:ilvl w:val="0"/>
          <w:numId w:val="1004"/>
        </w:numPr>
        <w:pStyle w:val="Compact"/>
      </w:pPr>
      <w:r>
        <w:t xml:space="preserve">Eat only after digestion</w:t>
      </w:r>
    </w:p>
    <w:p>
      <w:pPr>
        <w:numPr>
          <w:ilvl w:val="0"/>
          <w:numId w:val="1004"/>
        </w:numPr>
        <w:pStyle w:val="Compact"/>
      </w:pPr>
      <w:r>
        <w:t xml:space="preserve">Swallow only after thorough chewing</w:t>
      </w:r>
    </w:p>
    <w:p>
      <w:pPr>
        <w:numPr>
          <w:ilvl w:val="0"/>
          <w:numId w:val="1004"/>
        </w:numPr>
        <w:pStyle w:val="Compact"/>
      </w:pPr>
      <w:r>
        <w:t xml:space="preserve">Use foods to initially treat ailments</w:t>
      </w:r>
    </w:p>
    <w:p>
      <w:pPr>
        <w:numPr>
          <w:ilvl w:val="0"/>
          <w:numId w:val="1004"/>
        </w:numPr>
        <w:pStyle w:val="Compact"/>
      </w:pPr>
      <w:r>
        <w:t xml:space="preserve">Do not mix opposites at the table. Begin with soft before hard, and liquid before solid.</w:t>
      </w:r>
    </w:p>
    <w:p>
      <w:pPr>
        <w:numPr>
          <w:ilvl w:val="0"/>
          <w:numId w:val="1004"/>
        </w:numPr>
        <w:pStyle w:val="Compact"/>
      </w:pPr>
      <w:r>
        <w:t xml:space="preserve">Walk a little after eating</w:t>
      </w:r>
    </w:p>
    <w:p>
      <w:pPr>
        <w:numPr>
          <w:ilvl w:val="0"/>
          <w:numId w:val="1004"/>
        </w:numPr>
        <w:pStyle w:val="Compact"/>
      </w:pPr>
      <w:r>
        <w:t xml:space="preserve">Avoid foods which are hard to chew</w:t>
      </w:r>
    </w:p>
    <w:p>
      <w:pPr>
        <w:numPr>
          <w:ilvl w:val="0"/>
          <w:numId w:val="1004"/>
        </w:numPr>
        <w:pStyle w:val="Compact"/>
      </w:pPr>
      <w:r>
        <w:t xml:space="preserve">Eat only a little in the morning</w:t>
      </w:r>
    </w:p>
    <w:p>
      <w:pPr>
        <w:numPr>
          <w:ilvl w:val="0"/>
          <w:numId w:val="1004"/>
        </w:numPr>
        <w:pStyle w:val="Compact"/>
      </w:pPr>
      <w:r>
        <w:t xml:space="preserve">Being excessive in eating aggravates illnesses</w:t>
      </w:r>
    </w:p>
    <w:p>
      <w:pPr>
        <w:pStyle w:val="FirstParagraph"/>
      </w:pPr>
      <w:r>
        <w:t xml:space="preserve">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from eating foods which harm us.</w:t>
      </w:r>
    </w:p>
    <w:p>
      <w:pPr>
        <w:pStyle w:val="BodyText"/>
      </w:pPr>
      <w:r>
        <w:t xml:space="preserve">We also have a responsibility not to deprive ourselves of certain kinds of food as an ascetic practice, such as meats.</w:t>
      </w:r>
      <w:r>
        <w:rPr>
          <w:rStyle w:val="FootnoteReference"/>
        </w:rPr>
        <w:footnoteReference w:id="629"/>
      </w:r>
      <w:r>
        <w:t xml:space="preserve"> </w:t>
      </w:r>
      <w:r>
        <w:t xml:space="preserve">Our desire to seem pious does not give us the right to prohibit what God allows for others. Our desires for ourselves cannot be desires imposed onto others, even with food and drink.</w:t>
      </w:r>
    </w:p>
    <w:p>
      <w:pPr>
        <w:pStyle w:val="BodyText"/>
      </w:pPr>
      <w:r>
        <w:t xml:space="preserve">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pPr>
        <w:pStyle w:val="BodyText"/>
      </w:pPr>
      <w:r>
        <w:t xml:space="preserve">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630"/>
      </w:r>
      <w:r>
        <w:t xml:space="preserve"> </w:t>
      </w:r>
      <w:r>
        <w:t xml:space="preserve">nor with our parents and step-parents.</w:t>
      </w:r>
      <w:r>
        <w:rPr>
          <w:rStyle w:val="FootnoteReference"/>
        </w:rPr>
        <w:footnoteReference w:id="631"/>
      </w:r>
      <w:r>
        <w:t xml:space="preserve"> </w:t>
      </w:r>
      <w:r>
        <w:t xml:space="preserve">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632"/>
      </w:r>
      <w:r>
        <w:t xml:space="preserve"> </w:t>
      </w:r>
      <w:r>
        <w:t xml:space="preserve">This also means a married person has a right to be free from the desire of another person who is not their spouse.</w:t>
      </w:r>
    </w:p>
    <w:p>
      <w:pPr>
        <w:pStyle w:val="BodyText"/>
      </w:pPr>
      <w:r>
        <w:t xml:space="preserve">We are also warned about allowing certain music and melodies</w:t>
      </w:r>
      <w:r>
        <w:rPr>
          <w:rStyle w:val="FootnoteReference"/>
        </w:rPr>
        <w:footnoteReference w:id="633"/>
      </w:r>
      <w:r>
        <w:t xml:space="preserve"> </w:t>
      </w:r>
      <w:r>
        <w:t xml:space="preserve">to cause desire. There is a right to music and melodies, but a responsibility to be virtuous in their use.</w:t>
      </w:r>
    </w:p>
    <w:p>
      <w:pPr>
        <w:pStyle w:val="BodyText"/>
      </w:pPr>
      <w:r>
        <w:t xml:space="preserve">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as tranquility and the creation of a life that knows God. The creation of life does include sex, but the purpose is not sex in itself.</w:t>
      </w:r>
    </w:p>
    <w:p>
      <w:pPr>
        <w:pStyle w:val="BodyText"/>
      </w:pPr>
      <w:r>
        <w:t xml:space="preserve">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for which neither are ready.</w:t>
      </w:r>
    </w:p>
    <w:p>
      <w:pPr>
        <w:pStyle w:val="BodyText"/>
      </w:pPr>
      <w:r>
        <w:t xml:space="preserve">Many consider sexuality to be a core part of their identity, which could be the biggest illusion for a soul to face. Sex is a phenomenon which exists only with the body. When the body perishes, so too does the ability and desire for sex. If we allow sexual identity of any kind to shape our sense of self and to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pPr>
        <w:pStyle w:val="BodyText"/>
      </w:pPr>
      <w:r>
        <w:rPr>
          <w:iCs/>
          <w:i/>
        </w:rPr>
        <w:t xml:space="preserve">Reflection: Which desire could become healthier through virtue?</w:t>
      </w:r>
    </w:p>
    <w:p>
      <w:pPr>
        <w:pStyle w:val="BodyText"/>
      </w:pPr>
      <w:r>
        <w:t xml:space="preserve">The next section identifies moderation as the discipline that reshapes desire without denying it.</w:t>
      </w:r>
    </w:p>
    <w:bookmarkEnd w:id="634"/>
    <w:bookmarkEnd w:id="635"/>
    <w:bookmarkStart w:id="636" w:name="the-power-of-moderation"/>
    <w:p>
      <w:pPr>
        <w:pStyle w:val="Heading2"/>
      </w:pPr>
      <w:r>
        <w:t xml:space="preserve">16.8 The Power of Moderation</w:t>
      </w:r>
    </w:p>
    <w:p>
      <w:pPr>
        <w:pStyle w:val="FirstParagraph"/>
      </w:pPr>
      <w:r>
        <w:t xml:space="preserve">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w:t>
      </w:r>
      <w:r>
        <w:t xml:space="preserve"> </w:t>
      </w:r>
      <w:r>
        <w:t xml:space="preserve">“</w:t>
      </w:r>
      <w:r>
        <w:t xml:space="preserve">I am</w:t>
      </w:r>
      <w:r>
        <w:t xml:space="preserve">”</w:t>
      </w:r>
      <w:r>
        <w:t xml:space="preserve"> </w:t>
      </w:r>
      <w:r>
        <w:t xml:space="preserve">statement, we have a wide variety of names and attributes to pull from instead of just one limiting aspect.</w:t>
      </w:r>
    </w:p>
    <w:p>
      <w:pPr>
        <w:pStyle w:val="BodyText"/>
      </w:pPr>
      <w:r>
        <w:t xml:space="preserve">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pPr>
        <w:pStyle w:val="BodyText"/>
      </w:pPr>
      <w:r>
        <w:t xml:space="preserve">Moderation is the ultimate guide to ensuring our desires conform to the desires of God. Moderation is the fire which burns away the veils of illusions. Moderation is the pathway to guiding our self to be aligned with the divine Self.</w:t>
      </w:r>
    </w:p>
    <w:p>
      <w:pPr>
        <w:pStyle w:val="BodyText"/>
      </w:pPr>
      <w:r>
        <w:rPr>
          <w:iCs/>
          <w:i/>
        </w:rPr>
        <w:t xml:space="preserve">Reflection: What does freedom require when no one is watching?</w:t>
      </w:r>
    </w:p>
    <w:p>
      <w:pPr>
        <w:pStyle w:val="BodyText"/>
      </w:pPr>
      <w:r>
        <w:t xml:space="preserve">The next section closes the chapter by tying private discipline to public unity.</w:t>
      </w:r>
    </w:p>
    <w:bookmarkEnd w:id="636"/>
    <w:bookmarkStart w:id="638" w:name="freedom"/>
    <w:p>
      <w:pPr>
        <w:pStyle w:val="Heading2"/>
      </w:pPr>
      <w:r>
        <w:t xml:space="preserve">16.9 Freedom</w:t>
      </w:r>
    </w:p>
    <w:p>
      <w:pPr>
        <w:pStyle w:val="FirstParagraph"/>
      </w:pPr>
      <w:r>
        <w:t xml:space="preserve">To conclude the discussion about the private self, there is one more desire I want to close with. Bahá’u’lláh warns against desiring freedom and taking pride in it.</w:t>
      </w:r>
      <w:r>
        <w:rPr>
          <w:rStyle w:val="FootnoteReference"/>
        </w:rPr>
        <w:footnoteReference w:id="637"/>
      </w:r>
      <w:r>
        <w:t xml:space="preserve"> </w:t>
      </w:r>
      <w:r>
        <w:t xml:space="preserve">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pPr>
        <w:pStyle w:val="BodyText"/>
      </w:pPr>
      <w:r>
        <w:t xml:space="preserve">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r>
        <w:br w:type="page"/>
      </w:r>
    </w:p>
    <w:bookmarkEnd w:id="638"/>
    <w:bookmarkEnd w:id="639"/>
    <w:bookmarkStart w:id="675" w:name="the-constructive-social-life"/>
    <w:p>
      <w:pPr>
        <w:pStyle w:val="Heading1"/>
      </w:pPr>
      <w:r>
        <w:t xml:space="preserve">17. The Constructive Social Life</w:t>
      </w:r>
    </w:p>
    <w:p>
      <w:pPr>
        <w:pStyle w:val="FirstParagraph"/>
      </w:pPr>
      <w:r>
        <w:t xml:space="preserve">This chapter marks the movement from the private cultivation of virtue into the shared arena of collective life. The next two chapters will move from the private self to social life. This chapter will focus on interactions with all people, regardless of their status in your life. It will discuss the constructive social life, which is framed as the Cause of God. These together form a framework of positive actions designed to be the foundations and instruments of change within our communities.</w:t>
      </w:r>
    </w:p>
    <w:p>
      <w:pPr>
        <w:pStyle w:val="BodyText"/>
      </w:pPr>
      <w:r>
        <w:t xml:space="preserve">Throughout the book, there have been allusions to our responsibilities towards others. The names of God shed light on the potential perspectives for which we can strive. The soul and human station teach us the special and noble character of which all people are capable. The spiritual worlds allow us to creatively imagine the unique journeys all will take. The urgency of the Day of Resurrection ensures that we act with the best interests of all in mind.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that we are aware of the responsibilities of maturity while burning away the veils of illusions and desires we have privately held.</w:t>
      </w:r>
    </w:p>
    <w:p>
      <w:pPr>
        <w:pStyle w:val="BodyText"/>
      </w:pPr>
      <w:r>
        <w:t xml:space="preserve">All of the prior rights and responsibilities expressed so far in Part 3 still apply in this chapter. What follows builds upon this foundation.</w:t>
      </w:r>
    </w:p>
    <w:p>
      <w:pPr>
        <w:pStyle w:val="BodyText"/>
      </w:pPr>
      <w:r>
        <w:rPr>
          <w:iCs/>
          <w:i/>
        </w:rPr>
        <w:t xml:space="preserve">Reflection: How does personal belief become visible through community life?</w:t>
      </w:r>
    </w:p>
    <w:p>
      <w:pPr>
        <w:pStyle w:val="BodyText"/>
      </w:pPr>
      <w:r>
        <w:t xml:space="preserve">This question opens the path toward understanding the Cause of God as lived experience.</w:t>
      </w:r>
    </w:p>
    <w:bookmarkStart w:id="653" w:name="the-cause-of-god"/>
    <w:p>
      <w:pPr>
        <w:pStyle w:val="Heading2"/>
      </w:pPr>
      <w:r>
        <w:t xml:space="preserve">17.1 The Cause of God</w:t>
      </w:r>
    </w:p>
    <w:p>
      <w:pPr>
        <w:pStyle w:val="FirstParagraph"/>
      </w:pPr>
      <w:r>
        <w:t xml:space="preserve">Throughout the book, we have mentioned the Cause of God several times in association with Ḥuqúqu’lláh, reflection, and even the spiritual worlds. My personal opinion is that the Cause of God fully manifests itself in the constructive social life of a person, where we go beyond the individual and consider the community. To introduce this concept, Kitáb-i-Aqdas #58 presents a great framework for expressing the Cause of God and how to view community.</w:t>
      </w:r>
    </w:p>
    <w:p>
      <w:pPr>
        <w:pStyle w:val="BlockText"/>
      </w:pPr>
      <w:r>
        <w:t xml:space="preserve">Beware lest the affairs of the self and desire cause division among you. Be like the fingers of one hand and the limbs of one body. Thus does the Pen of Revelation counsel you, if you are of those who believe with certainty.</w:t>
      </w:r>
    </w:p>
    <w:p>
      <w:pPr>
        <w:pStyle w:val="FirstParagraph"/>
      </w:pPr>
      <w:r>
        <w:t xml:space="preserve">Kitáb-i-Aqdas #58 largely explains itself, but I do want to add one more image. What happens when a finger is injured, weak, or severed? The hand might still function, but not as effectively as before. The same is true of the limbs of a body. It means we must make the utmost effort to ensure each aspect is strong, healthy, and purposeful in function. To do this, Bahá’u’lláh offers various guidance associated with the Cause of God.</w:t>
      </w:r>
    </w:p>
    <w:p>
      <w:pPr>
        <w:pStyle w:val="BodyText"/>
      </w:pPr>
      <w:r>
        <w:t xml:space="preserve">All believers have the responsibility to exalt God’s Word.</w:t>
      </w:r>
      <w:r>
        <w:rPr>
          <w:rStyle w:val="FootnoteReference"/>
        </w:rPr>
        <w:footnoteReference w:id="640"/>
      </w:r>
      <w:r>
        <w:t xml:space="preserve"> </w:t>
      </w:r>
      <w:r>
        <w:t xml:space="preserve">This also places other words from other sources as secondary. This does not mean excluding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641"/>
      </w:r>
      <w:r>
        <w:t xml:space="preserve"> </w:t>
      </w:r>
      <w:r>
        <w:t xml:space="preserve">as prior scripture avails nothing today. While we acknowledge the truth of scriptures past, we must completely understand that they are relevant today as historical context, not as sources of God’s living will. This will remain true until the next Manifestation of God appears, when the Kitáb-i-Aqdas is replaced by a new Book.</w:t>
      </w:r>
    </w:p>
    <w:p>
      <w:pPr>
        <w:pStyle w:val="BodyText"/>
      </w:pPr>
      <w:r>
        <w:t xml:space="preserve">We have responsibilities to associate</w:t>
      </w:r>
      <w:r>
        <w:rPr>
          <w:rStyle w:val="FootnoteReference"/>
        </w:rPr>
        <w:footnoteReference w:id="642"/>
      </w:r>
      <w:r>
        <w:t xml:space="preserve"> </w:t>
      </w:r>
      <w:r>
        <w:t xml:space="preserve">and consort</w:t>
      </w:r>
      <w:r>
        <w:rPr>
          <w:rStyle w:val="FootnoteReference"/>
        </w:rPr>
        <w:footnoteReference w:id="643"/>
      </w:r>
      <w:r>
        <w:t xml:space="preserve"> </w:t>
      </w:r>
      <w:r>
        <w:t xml:space="preserve">with the followers of other religions in a spirit of friendliness and fellowship. The followers of other religions have a right to be associated with, without being excluded or shunned on the basis of belief. This allows us to proclaim</w:t>
      </w:r>
      <w:r>
        <w:rPr>
          <w:rStyle w:val="FootnoteReference"/>
        </w:rPr>
        <w:footnoteReference w:id="644"/>
      </w:r>
      <w:r>
        <w:t xml:space="preserve"> </w:t>
      </w:r>
      <w:r>
        <w:t xml:space="preserve">and assist</w:t>
      </w:r>
      <w:r>
        <w:rPr>
          <w:rStyle w:val="FootnoteReference"/>
        </w:rPr>
        <w:footnoteReference w:id="645"/>
      </w:r>
      <w:r>
        <w:t xml:space="preserve"> </w:t>
      </w:r>
      <w:r>
        <w:t xml:space="preserve">the Cause in a positive and healthy way. To help with proclamation, Bahá’u’lláh also advises us to learn different languages</w:t>
      </w:r>
      <w:r>
        <w:rPr>
          <w:rStyle w:val="FootnoteReference"/>
        </w:rPr>
        <w:footnoteReference w:id="646"/>
      </w:r>
      <w:r>
        <w:t xml:space="preserve"> </w:t>
      </w:r>
      <w:r>
        <w:t xml:space="preserve">so we can communicate with different people. This is not a requirement, though. We should serve the Cause in all conditions.</w:t>
      </w:r>
      <w:r>
        <w:rPr>
          <w:rStyle w:val="FootnoteReference"/>
        </w:rPr>
        <w:footnoteReference w:id="647"/>
      </w:r>
      <w:r>
        <w:t xml:space="preserve"> </w:t>
      </w:r>
      <w:r>
        <w:t xml:space="preserve">We are promised that God strengthens us and that He is with us and will aid us. With this promise, there is no need to hesitate in serving this Cause</w:t>
      </w:r>
      <w:r>
        <w:rPr>
          <w:rStyle w:val="FootnoteReference"/>
        </w:rPr>
        <w:footnoteReference w:id="648"/>
      </w:r>
      <w:r>
        <w:t xml:space="preserve"> </w:t>
      </w:r>
      <w:r>
        <w:t xml:space="preserve">or to let disbelievers’ sorrow overcome us.</w:t>
      </w:r>
      <w:r>
        <w:rPr>
          <w:rStyle w:val="FootnoteReference"/>
        </w:rPr>
        <w:footnoteReference w:id="649"/>
      </w:r>
      <w:r>
        <w:t xml:space="preserve"> </w:t>
      </w:r>
      <w:r>
        <w:t xml:space="preserve">With God’s Word being exalted, there is no reason to dispute about God and His Cause</w:t>
      </w:r>
      <w:r>
        <w:rPr>
          <w:rStyle w:val="FootnoteReference"/>
        </w:rPr>
        <w:footnoteReference w:id="650"/>
      </w:r>
      <w:r>
        <w:t xml:space="preserve"> </w:t>
      </w:r>
      <w:r>
        <w:t xml:space="preserve">even if there are interpretive differences and various understandings. We have the right to be free from disputes about God and His Cause. The fear of God will help to keep veils away</w:t>
      </w:r>
      <w:r>
        <w:rPr>
          <w:rStyle w:val="FootnoteReference"/>
        </w:rPr>
        <w:footnoteReference w:id="651"/>
      </w:r>
      <w:r>
        <w:t xml:space="preserve"> </w:t>
      </w:r>
      <w:r>
        <w:t xml:space="preserve">which can lead to disputes, much like it helped with the prior chapter’s illusions and desires. God’s love burns away those veils, a love which is the foundation of the friendliness and fellowship we should show others.</w:t>
      </w:r>
    </w:p>
    <w:p>
      <w:pPr>
        <w:pStyle w:val="BodyText"/>
      </w:pPr>
      <w:r>
        <w:t xml:space="preserve">We have a responsibility to support His chosen ones.</w:t>
      </w:r>
      <w:r>
        <w:rPr>
          <w:rStyle w:val="FootnoteReference"/>
        </w:rPr>
        <w:footnoteReference w:id="652"/>
      </w:r>
      <w:r>
        <w:t xml:space="preserve"> </w:t>
      </w:r>
      <w:r>
        <w:t xml:space="preserve">Throughout the revelation, Bahá’u’lláh refers to Manifestations of God as Chosen, but He also refers to others as chosen. Bahá’u’lláh in the Kitáb-i-Badí‘ offers an allegory of who the chosen ones are. Those who rejected the idol of the golden calf, an allusion to the days of Moses, were chosen. Much like how the Hebrew people who believed in God and Moses were the Chosen Ones of God in those early days of Israel, Bahá’u’lláh affirms this criteria as the standard for today. In the Súríy-i-Haykal, He says these chosen ones end up in God’s Kingdom. In the Kitáb-i-Aqdas, He says these chosen ones elevate His Word and are the stars of heaven. To support one of these people can happen in a variety of ways. It could be through prayer, financial assistance, giving food and other provisions, printing a book, or meeting other logistical needs. We have a responsibility to support them. Bahá’u’lláh regularly used Ḥuqúqu’lláh to support His chosen ones. We must be careful, though, not to promote ourselves as chosen.</w:t>
      </w:r>
    </w:p>
    <w:p>
      <w:pPr>
        <w:pStyle w:val="BodyText"/>
      </w:pPr>
      <w:r>
        <w:rPr>
          <w:iCs/>
          <w:i/>
        </w:rPr>
        <w:t xml:space="preserve">Reflection: What does it mean for faith to shape the physical world around us?</w:t>
      </w:r>
    </w:p>
    <w:p>
      <w:pPr>
        <w:pStyle w:val="BodyText"/>
      </w:pPr>
      <w:r>
        <w:t xml:space="preserve">This reflection turns attention toward development as an expression of devotion.</w:t>
      </w:r>
    </w:p>
    <w:bookmarkEnd w:id="653"/>
    <w:bookmarkStart w:id="660" w:name="community-building"/>
    <w:p>
      <w:pPr>
        <w:pStyle w:val="Heading2"/>
      </w:pPr>
      <w:r>
        <w:t xml:space="preserve">17.2 Community Building</w:t>
      </w:r>
    </w:p>
    <w:p>
      <w:pPr>
        <w:pStyle w:val="FirstParagraph"/>
      </w:pPr>
      <w:r>
        <w:t xml:space="preserve">Another purpose of the Cause of God is to ensure the development of our communities. The only guaranteed method of socioeconomic development which lifts up all fingers of a hand is through working together with shared or complementary goals and roles. Bahá’u’lláh ties development to everyone as a responsibility.</w:t>
      </w:r>
    </w:p>
    <w:p>
      <w:pPr>
        <w:pStyle w:val="BodyText"/>
      </w:pPr>
      <w:r>
        <w:t xml:space="preserve">Bahá’u’lláh says to build up the cities and lands of God</w:t>
      </w:r>
      <w:r>
        <w:rPr>
          <w:rStyle w:val="FootnoteReference"/>
        </w:rPr>
        <w:footnoteReference w:id="654"/>
      </w:r>
      <w:r>
        <w:t xml:space="preserve"> </w:t>
      </w:r>
      <w:r>
        <w:t xml:space="preserve">then remember Him within them. This building up includes not only specific buildings of faith, but also the infrastructure to support the entire Cause. In Chapter 14,</w:t>
      </w:r>
      <w:r>
        <w:t xml:space="preserve"> </w:t>
      </w:r>
      <w:r>
        <w:t xml:space="preserve">“</w:t>
      </w:r>
      <w:r>
        <w:t xml:space="preserve">Honoring God</w:t>
      </w:r>
      <w:r>
        <w:t xml:space="preserve">”</w:t>
      </w:r>
      <w:r>
        <w:t xml:space="preserve"> </w:t>
      </w:r>
      <w:r>
        <w:t xml:space="preserve">we learned how having an occupation is a requirement for those who are able to. Each business and its supporting occupations must have buildings, markets, and networks such as communications and transportation. Infrastructure must exist to support the right to provision, even if provision is governed by market pricing. This provision includes environmental necessities. Every person has a right to socioeconomic development, and it is a responsibility of all believers. Other infrastructure would be focused on what is needed to fulfill the full spectrum of rights afforded to all.</w:t>
      </w:r>
    </w:p>
    <w:p>
      <w:pPr>
        <w:pStyle w:val="BodyText"/>
      </w:pPr>
      <w:r>
        <w:t xml:space="preserve">Outside of the business sphere, we are also to build our own houses as perfectly as possible in the lands.</w:t>
      </w:r>
      <w:r>
        <w:rPr>
          <w:rStyle w:val="FootnoteReference"/>
        </w:rPr>
        <w:footnoteReference w:id="655"/>
      </w:r>
      <w:r>
        <w:t xml:space="preserve"> </w:t>
      </w:r>
      <w:r>
        <w:t xml:space="preserve">This would include the outside and the inside, such as furnishings. This interplays highly with the constellation of virtues, and like all of our rights, we must be mindful in how we express them. A house does not need to be extravagant to be as perfect as possible, but within the means you have, keep it as perfect as possible. Bahá’u’lláh also tells us to renew our furnishings after the passing of nineteen years.</w:t>
      </w:r>
      <w:r>
        <w:rPr>
          <w:rStyle w:val="FootnoteReference"/>
        </w:rPr>
        <w:footnoteReference w:id="656"/>
      </w:r>
      <w:r>
        <w:t xml:space="preserve"> </w:t>
      </w:r>
      <w:r>
        <w:t xml:space="preserve">All people have a right to secure dignified housing.</w:t>
      </w:r>
    </w:p>
    <w:p>
      <w:pPr>
        <w:pStyle w:val="BodyText"/>
      </w:pPr>
      <w:r>
        <w:t xml:space="preserve">On the religious side, the command to build Mashriqu’l-Adhkárs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against allowing the people of other religions to build whatever places of worship and faith they choose. Remember we are to be friendly and offer fellowship. Yet, all believers of Bahá’u’lláh have a responsibility to build Mashriqu’l-Adhkárs.</w:t>
      </w:r>
    </w:p>
    <w:p>
      <w:pPr>
        <w:pStyle w:val="BodyText"/>
      </w:pPr>
      <w:r>
        <w:t xml:space="preserve">The final aspect of the socioeconomic development of the lands is the building of Houses of Justice in every city</w:t>
      </w:r>
      <w:r>
        <w:rPr>
          <w:rStyle w:val="FootnoteReference"/>
        </w:rPr>
        <w:footnoteReference w:id="657"/>
      </w:r>
      <w:r>
        <w:t xml:space="preserve"> </w:t>
      </w:r>
      <w:r>
        <w:t xml:space="preserve">when believing individuals reach 9 or more. The Houses of Justice have clearly defined roles, functions, and funding which will be explained in their own chapter due to their uniqueness and importance. While being tied to religious revelation, these Houses of Justice exist as representatives for all who dwell on Earth</w:t>
      </w:r>
      <w:r>
        <w:rPr>
          <w:rStyle w:val="FootnoteReference"/>
        </w:rPr>
        <w:footnoteReference w:id="658"/>
      </w:r>
      <w:r>
        <w:t xml:space="preserve"> </w:t>
      </w:r>
      <w:r>
        <w:t xml:space="preserve">regardless of which city they are in. The implication is that every city should receive the benefits of a House of Justice within it. The individuals who arise to serve on the Houses of Justice do so to serve the Cause.</w:t>
      </w:r>
      <w:r>
        <w:rPr>
          <w:rStyle w:val="FootnoteReference"/>
        </w:rPr>
        <w:footnoteReference w:id="659"/>
      </w:r>
      <w:r>
        <w:t xml:space="preserve"> </w:t>
      </w:r>
      <w:r>
        <w:t xml:space="preserve">Houses of Justice do not need to be built in villages, but there is no exclusion if there are the minimum 9 individuals.</w:t>
      </w:r>
    </w:p>
    <w:p>
      <w:pPr>
        <w:pStyle w:val="BodyText"/>
      </w:pPr>
      <w:r>
        <w:rPr>
          <w:iCs/>
          <w:i/>
        </w:rPr>
        <w:t xml:space="preserve">Reflection: Which everyday behaviors quietly sustain a healthy society?</w:t>
      </w:r>
    </w:p>
    <w:p>
      <w:pPr>
        <w:pStyle w:val="BodyText"/>
      </w:pPr>
      <w:r>
        <w:t xml:space="preserve">This reflection narrows the focus from structures to daily conduct.</w:t>
      </w:r>
    </w:p>
    <w:bookmarkEnd w:id="660"/>
    <w:bookmarkStart w:id="673" w:name="positive-social-actions"/>
    <w:p>
      <w:pPr>
        <w:pStyle w:val="Heading2"/>
      </w:pPr>
      <w:r>
        <w:t xml:space="preserve">17.3 Positive Social Actions</w:t>
      </w:r>
    </w:p>
    <w:p>
      <w:pPr>
        <w:numPr>
          <w:ilvl w:val="0"/>
          <w:numId w:val="1005"/>
        </w:numPr>
        <w:pStyle w:val="Compact"/>
      </w:pPr>
      <w:r>
        <w:t xml:space="preserve">A responsibility to act with good deeds</w:t>
      </w:r>
      <w:r>
        <w:rPr>
          <w:rStyle w:val="FootnoteReference"/>
        </w:rPr>
        <w:footnoteReference w:id="661"/>
      </w:r>
      <w:r>
        <w:t xml:space="preserve"> </w:t>
      </w:r>
      <w:r>
        <w:t xml:space="preserve">and a right to be free from bad deeds.</w:t>
      </w:r>
    </w:p>
    <w:p>
      <w:pPr>
        <w:numPr>
          <w:ilvl w:val="0"/>
          <w:numId w:val="1005"/>
        </w:numPr>
        <w:pStyle w:val="Compact"/>
      </w:pPr>
      <w:r>
        <w:t xml:space="preserve">A responsibility to engage in activities which benefit yourself and others</w:t>
      </w:r>
      <w:r>
        <w:rPr>
          <w:rStyle w:val="FootnoteReference"/>
        </w:rPr>
        <w:footnoteReference w:id="662"/>
      </w:r>
      <w:r>
        <w:t xml:space="preserve"> </w:t>
      </w:r>
      <w:r>
        <w:t xml:space="preserve">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pPr>
        <w:numPr>
          <w:ilvl w:val="0"/>
          <w:numId w:val="1005"/>
        </w:numPr>
        <w:pStyle w:val="Compact"/>
      </w:pPr>
      <w:r>
        <w:t xml:space="preserve">A responsibility to provide for the poor and needy</w:t>
      </w:r>
      <w:r>
        <w:rPr>
          <w:rStyle w:val="FootnoteReference"/>
        </w:rPr>
        <w:footnoteReference w:id="663"/>
      </w:r>
      <w:r>
        <w:t xml:space="preserve"> </w:t>
      </w:r>
      <w:r>
        <w:t xml:space="preserve">and a right to be free of poverty.</w:t>
      </w:r>
    </w:p>
    <w:p>
      <w:pPr>
        <w:numPr>
          <w:ilvl w:val="0"/>
          <w:numId w:val="1005"/>
        </w:numPr>
        <w:pStyle w:val="Compact"/>
      </w:pPr>
      <w:r>
        <w:t xml:space="preserve">A responsibility to provide hospitality</w:t>
      </w:r>
      <w:r>
        <w:rPr>
          <w:rStyle w:val="FootnoteReference"/>
        </w:rPr>
        <w:footnoteReference w:id="664"/>
      </w:r>
      <w:r>
        <w:t xml:space="preserve"> </w:t>
      </w:r>
      <w:r>
        <w:t xml:space="preserve">once per Bayání month.</w:t>
      </w:r>
    </w:p>
    <w:p>
      <w:pPr>
        <w:numPr>
          <w:ilvl w:val="0"/>
          <w:numId w:val="1005"/>
        </w:numPr>
        <w:pStyle w:val="Compact"/>
      </w:pPr>
      <w:r>
        <w:t xml:space="preserve">A responsibility to fulfill promises</w:t>
      </w:r>
      <w:r>
        <w:rPr>
          <w:rStyle w:val="FootnoteReference"/>
        </w:rPr>
        <w:footnoteReference w:id="665"/>
      </w:r>
      <w:r>
        <w:t xml:space="preserve"> </w:t>
      </w:r>
      <w:r>
        <w:t xml:space="preserve">and a right for promises received to be fulfilled. Promises can be informal, such as verbal agreements with friends or the proverbial pinky promise, or they can be formalized through contracts.</w:t>
      </w:r>
    </w:p>
    <w:p>
      <w:pPr>
        <w:numPr>
          <w:ilvl w:val="0"/>
          <w:numId w:val="1005"/>
        </w:numPr>
        <w:pStyle w:val="Compact"/>
      </w:pPr>
      <w:r>
        <w:t xml:space="preserve">A responsibility to purify every disliked thing with water</w:t>
      </w:r>
      <w:r>
        <w:rPr>
          <w:rStyle w:val="FootnoteReference"/>
        </w:rPr>
        <w:footnoteReference w:id="666"/>
      </w:r>
      <w:r>
        <w:t xml:space="preserve"> </w:t>
      </w:r>
      <w:r>
        <w:t xml:space="preserve">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pPr>
        <w:numPr>
          <w:ilvl w:val="0"/>
          <w:numId w:val="1005"/>
        </w:numPr>
        <w:pStyle w:val="Compact"/>
      </w:pPr>
      <w:r>
        <w:t xml:space="preserve">A responsibility to respond with joy when invited to banquets and gatherings</w:t>
      </w:r>
      <w:r>
        <w:rPr>
          <w:rStyle w:val="FootnoteReference"/>
        </w:rPr>
        <w:footnoteReference w:id="667"/>
      </w:r>
      <w:r>
        <w:t xml:space="preserve"> </w:t>
      </w:r>
      <w:r>
        <w:t xml:space="preserve">and a right to receive a response to such invitations. The response can be a no, but if it is a yes, the promise should be fulfilled. If the response is a joyless yes, consider making it a no.</w:t>
      </w:r>
    </w:p>
    <w:p>
      <w:pPr>
        <w:numPr>
          <w:ilvl w:val="0"/>
          <w:numId w:val="1005"/>
        </w:numPr>
        <w:pStyle w:val="Compact"/>
      </w:pPr>
      <w:r>
        <w:t xml:space="preserve">A responsibility not to become a plaything for the ignorant,</w:t>
      </w:r>
      <w:r>
        <w:rPr>
          <w:rStyle w:val="FootnoteReference"/>
        </w:rPr>
        <w:footnoteReference w:id="668"/>
      </w:r>
      <w:r>
        <w:t xml:space="preserve"> </w:t>
      </w:r>
      <w:r>
        <w:t xml:space="preserve">a responsibility born from good manners. This can be associated with what we say, do, or how we present ourselves. All have the right to be free from being considered as playthings.</w:t>
      </w:r>
    </w:p>
    <w:p>
      <w:pPr>
        <w:numPr>
          <w:ilvl w:val="0"/>
          <w:numId w:val="1005"/>
        </w:numPr>
        <w:pStyle w:val="Compact"/>
      </w:pPr>
      <w:r>
        <w:t xml:space="preserve">A responsibility to seek knowledge for the recognition of the known</w:t>
      </w:r>
      <w:r>
        <w:rPr>
          <w:rStyle w:val="FootnoteReference"/>
        </w:rPr>
        <w:footnoteReference w:id="669"/>
      </w:r>
      <w:r>
        <w:t xml:space="preserve"> </w:t>
      </w:r>
      <w:r>
        <w:t xml:space="preserve">and a right to seek knowledge. Relatedly, we have a responsibility to read from sciences which benefit us</w:t>
      </w:r>
      <w:r>
        <w:rPr>
          <w:rStyle w:val="FootnoteReference"/>
        </w:rPr>
        <w:footnoteReference w:id="670"/>
      </w:r>
      <w:r>
        <w:t xml:space="preserve"> </w:t>
      </w:r>
      <w:r>
        <w:t xml:space="preserve">with a right to be able to read these sciences. This could be rather expansive but would require discernment. In general, this means the pursuit of facts, the wisdom to use these facts to benefit yourself and others, and caution towards opinions which disguise facts and harms.</w:t>
      </w:r>
    </w:p>
    <w:p>
      <w:pPr>
        <w:numPr>
          <w:ilvl w:val="0"/>
          <w:numId w:val="1005"/>
        </w:numPr>
        <w:pStyle w:val="Compact"/>
      </w:pPr>
      <w:r>
        <w:t xml:space="preserve">A responsibility to respond in kindness if angered.</w:t>
      </w:r>
      <w:r>
        <w:rPr>
          <w:rStyle w:val="FootnoteReference"/>
        </w:rPr>
        <w:footnoteReference w:id="671"/>
      </w:r>
      <w:r>
        <w:t xml:space="preserve"> </w:t>
      </w:r>
      <w:r>
        <w:t xml:space="preserve">Note that this is not a prohibition of anger, but a guidance to ensure anger does not end up betraying our constellation of virtues. There is a right to be responded to without anger.</w:t>
      </w:r>
    </w:p>
    <w:p>
      <w:pPr>
        <w:numPr>
          <w:ilvl w:val="0"/>
          <w:numId w:val="1005"/>
        </w:numPr>
        <w:pStyle w:val="Compact"/>
      </w:pPr>
      <w:r>
        <w:t xml:space="preserve">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672"/>
      </w:r>
      <w:r>
        <w:t xml:space="preserve"> </w:t>
      </w:r>
      <w:r>
        <w:t xml:space="preserve">This does not mean hiding injustice or the breaking of laws.</w:t>
      </w:r>
    </w:p>
    <w:p>
      <w:pPr>
        <w:pStyle w:val="FirstParagraph"/>
      </w:pPr>
      <w:r>
        <w:t xml:space="preserve">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bookmarkEnd w:id="673"/>
    <w:bookmarkStart w:id="674" w:name="towards-protecting-the-social-life"/>
    <w:p>
      <w:pPr>
        <w:pStyle w:val="Heading2"/>
      </w:pPr>
      <w:r>
        <w:t xml:space="preserve">17.4 Towards Protecting the Social Life</w:t>
      </w:r>
    </w:p>
    <w:p>
      <w:pPr>
        <w:pStyle w:val="FirstParagraph"/>
      </w:pPr>
      <w:r>
        <w:t xml:space="preserve">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r>
        <w:br w:type="page"/>
      </w:r>
    </w:p>
    <w:bookmarkEnd w:id="674"/>
    <w:bookmarkEnd w:id="675"/>
    <w:bookmarkStart w:id="723" w:name="the-protective-social-life"/>
    <w:p>
      <w:pPr>
        <w:pStyle w:val="Heading1"/>
      </w:pPr>
      <w:r>
        <w:t xml:space="preserve">18. The Protective Social Life</w:t>
      </w:r>
    </w:p>
    <w:p>
      <w:pPr>
        <w:pStyle w:val="FirstParagraph"/>
      </w:pPr>
      <w:r>
        <w:t xml:space="preserve">This chapter introduces the protective social life as the boundary system that preserves dignity, prevents harm, and keeps rights from colliding within community. When we look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a way of their own.</w:t>
      </w:r>
    </w:p>
    <w:p>
      <w:pPr>
        <w:pStyle w:val="BodyText"/>
      </w:pPr>
      <w:r>
        <w:t xml:space="preserve">While the framework for the Cause of God, with its underlying beliefs, spiritual practices, virtues, protected rights, and related responsibilities, should be suitable for a society that liberates souls, it must also have measures to protect people, protect their rights, and ensure that one person’s expression of rights does not infringe upon another’s rights. Everything discussed so far consists of goals to constantly be striving for.</w:t>
      </w:r>
    </w:p>
    <w:p>
      <w:pPr>
        <w:pStyle w:val="BodyText"/>
      </w:pPr>
      <w:r>
        <w:t xml:space="preserve">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pPr>
        <w:pStyle w:val="BodyText"/>
      </w:pPr>
      <w:r>
        <w:t xml:space="preserve">This is where the protective social life comes in. It is a collection of clear prohibitions designed to protect the community. Some are punitive, and many are not. For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measures that safeguard dignity, harmony, and rights for all.</w:t>
      </w:r>
    </w:p>
    <w:bookmarkStart w:id="692" w:name="X88bb1f10659cfe6f7ea7a5fb9667ee8ab8d2295"/>
    <w:p>
      <w:pPr>
        <w:pStyle w:val="Heading2"/>
      </w:pPr>
      <w:r>
        <w:t xml:space="preserve">18.1 Protecting Against Those Who Exalt Themselves</w:t>
      </w:r>
    </w:p>
    <w:p>
      <w:pPr>
        <w:pStyle w:val="FirstParagraph"/>
      </w:pPr>
      <w:r>
        <w:t xml:space="preserve">The first danger I want to discuss is those who exalt themselves over another. The most egregious example would be someone who declares they have revelation of God before the completion of a full thousand years (1029 BE - 2873 AD minimum).</w:t>
      </w:r>
      <w:r>
        <w:rPr>
          <w:rStyle w:val="FootnoteReference"/>
        </w:rPr>
        <w:footnoteReference w:id="676"/>
      </w:r>
      <w:r>
        <w:t xml:space="preserve"> </w:t>
      </w:r>
      <w:r>
        <w:t xml:space="preserve">At some point, the period of the Kitáb-i-Aqdas will end with a new Day of Resurrection, a Manifestation of God, and a new Book.</w:t>
      </w:r>
    </w:p>
    <w:bookmarkStart w:id="680" w:name="regarding-interpretation"/>
    <w:p>
      <w:pPr>
        <w:pStyle w:val="Heading3"/>
      </w:pPr>
      <w:r>
        <w:t xml:space="preserve">18.1.1 Regarding Interpretation</w:t>
      </w:r>
    </w:p>
    <w:p>
      <w:pPr>
        <w:pStyle w:val="FirstParagraph"/>
      </w:pPr>
      <w:r>
        <w:t xml:space="preserve">A person does not need to declare themselves to have new revelation or to be a Manifestation to take steps to act like one. Bahá’u’lláh warns against interpreting what has been revealed and deviating from its outward meaning.</w:t>
      </w:r>
      <w:r>
        <w:rPr>
          <w:rStyle w:val="FootnoteReference"/>
        </w:rPr>
        <w:footnoteReference w:id="677"/>
      </w:r>
      <w:r>
        <w:t xml:space="preserve"> </w:t>
      </w:r>
      <w:r>
        <w:t xml:space="preserve">This causes distortion of God’s Word, and whoever does this is considered a loser in the eyes of God. These distortions, caused by certain interpretive acts, can fundamentally change what people believe are the Words of God and the true commands. Another way to cause distortion is by claiming these interpretations are equal to the Word, to the point that a believer struggles to distinguish between Bahá’u’lláh and the interpreter.</w:t>
      </w:r>
    </w:p>
    <w:p>
      <w:pPr>
        <w:pStyle w:val="BodyText"/>
      </w:pPr>
      <w:r>
        <w:t xml:space="preserve">Interpretation itself is not prohibited. Bahá’u’lláh advises us to interpret both the outward and the inward.</w:t>
      </w:r>
      <w:r>
        <w:rPr>
          <w:rStyle w:val="FootnoteReference"/>
        </w:rPr>
        <w:footnoteReference w:id="678"/>
      </w:r>
      <w:r>
        <w:t xml:space="preserve"> </w:t>
      </w:r>
      <w:r>
        <w:t xml:space="preserve">To neglect either will cause deviation. If Bahá’u’lláh interprets anything Himself, this takes precedence. He says,</w:t>
      </w:r>
      <w:r>
        <w:t xml:space="preserve"> </w:t>
      </w:r>
      <w:r>
        <w:t xml:space="preserve">“</w:t>
      </w:r>
      <w:r>
        <w:t xml:space="preserve">if you differ on a matter, refer to what has been revealed by Him</w:t>
      </w:r>
      <w:r>
        <w:t xml:space="preserve">”</w:t>
      </w:r>
      <w:r>
        <w:rPr>
          <w:rStyle w:val="FootnoteReference"/>
        </w:rPr>
        <w:footnoteReference w:id="679"/>
      </w:r>
      <w:r>
        <w:t xml:space="preserve">. The issue regarding interpretation is using interpretation to self-exalt or to exalt another. For example, this entire book is how I personally interpret the Kitáb-i-Aqdas and related writings. If you feel I am in error, let me know and allow me an opportunity to correct the error. This book should never be viewed above the Kitáb-i-Aqdas. For this reason, I highly recommend reading the Kitáb-i-Aqdas first and referencing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pPr>
        <w:pStyle w:val="BodyText"/>
      </w:pPr>
      <w:r>
        <w:t xml:space="preserve">When interpretation becomes a tool for elevating one person’s voice above others as if it has divine authority, the step into claiming infallibility is dangerously close.</w:t>
      </w:r>
    </w:p>
    <w:bookmarkEnd w:id="680"/>
    <w:bookmarkStart w:id="682" w:name="regarding-infallibility"/>
    <w:p>
      <w:pPr>
        <w:pStyle w:val="Heading3"/>
      </w:pPr>
      <w:r>
        <w:t xml:space="preserve">18.1.2 Regarding Infallibility</w:t>
      </w:r>
    </w:p>
    <w:p>
      <w:pPr>
        <w:pStyle w:val="FirstParagraph"/>
      </w:pPr>
      <w:r>
        <w:t xml:space="preserve">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681"/>
      </w:r>
      <w:r>
        <w:t xml:space="preserve"> </w:t>
      </w:r>
      <w:r>
        <w:t xml:space="preserve">By claiming infallibility, even if you do not claim to be a Manifestation, you are claiming the same station and role. Infallibility means a person is exempt from error or has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pPr>
        <w:pStyle w:val="BodyText"/>
      </w:pPr>
      <w:r>
        <w:t xml:space="preserve">Bahá’u’lláh gives an example in His sermon on infallibility in the Ishráqát. He declares:</w:t>
      </w:r>
    </w:p>
    <w:p>
      <w:pPr>
        <w:pStyle w:val="BlockText"/>
      </w:pPr>
      <w:r>
        <w:t xml:space="preserve">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pPr>
        <w:pStyle w:val="FirstParagraph"/>
      </w:pPr>
      <w:r>
        <w:t xml:space="preserve">In this example, if someone declares pilgrimage to another place or site as lawful from God, they could never be infallible. Anyone who transgresses is in error. He includes another message like this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people whom He praises, yet He never said any individual on their own was infallible. I believe the purpose of this was to protect those He praised from the dangers of self-exaltation.</w:t>
      </w:r>
    </w:p>
    <w:bookmarkEnd w:id="682"/>
    <w:bookmarkStart w:id="686" w:name="abolition-of-prior-religious-practices"/>
    <w:p>
      <w:pPr>
        <w:pStyle w:val="Heading3"/>
      </w:pPr>
      <w:r>
        <w:t xml:space="preserve">18.1.3 Abolition of Prior Religious Practices</w:t>
      </w:r>
    </w:p>
    <w:p>
      <w:pPr>
        <w:pStyle w:val="FirstParagraph"/>
      </w:pPr>
      <w:r>
        <w:t xml:space="preserve">There are some other practices mentioned to help prevent the self-exaltation of another, or to keep us from exalting any other charismatic person. Bahá’u’lláh prohibits the kissing of hands</w:t>
      </w:r>
      <w:r>
        <w:rPr>
          <w:rStyle w:val="FootnoteReference"/>
        </w:rPr>
        <w:footnoteReference w:id="683"/>
      </w:r>
      <w:r>
        <w:t xml:space="preserve"> </w:t>
      </w:r>
      <w:r>
        <w:t xml:space="preserve">as a sign of inferiority. We are all prohibited from ascending pulpits</w:t>
      </w:r>
      <w:r>
        <w:rPr>
          <w:rStyle w:val="FootnoteReference"/>
        </w:rPr>
        <w:footnoteReference w:id="684"/>
      </w:r>
      <w:r>
        <w:t xml:space="preserve">, which physically visualize one being above the others.</w:t>
      </w:r>
    </w:p>
    <w:p>
      <w:pPr>
        <w:pStyle w:val="BodyText"/>
      </w:pPr>
      <w:r>
        <w:t xml:space="preserve">One of the most important, in my view, is the prohibition against seeking forgiveness from another.</w:t>
      </w:r>
      <w:r>
        <w:rPr>
          <w:rStyle w:val="FootnoteReference"/>
        </w:rPr>
        <w:footnoteReference w:id="685"/>
      </w:r>
      <w:r>
        <w:t xml:space="preserve"> </w:t>
      </w:r>
      <w:r>
        <w:t xml:space="preserve">This is not a prohibition on apologizing for a mistake.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bookmarkEnd w:id="686"/>
    <w:bookmarkStart w:id="688" w:name="begging"/>
    <w:p>
      <w:pPr>
        <w:pStyle w:val="Heading3"/>
      </w:pPr>
      <w:r>
        <w:t xml:space="preserve">18.1.4 Begging</w:t>
      </w:r>
    </w:p>
    <w:p>
      <w:pPr>
        <w:pStyle w:val="FirstParagraph"/>
      </w:pPr>
      <w:r>
        <w:t xml:space="preserve">In addition, we are forbidden from begging and from giving to those who do beg.</w:t>
      </w:r>
      <w:r>
        <w:rPr>
          <w:rStyle w:val="FootnoteReference"/>
        </w:rPr>
        <w:footnoteReference w:id="687"/>
      </w:r>
      <w:r>
        <w:t xml:space="preserve"> </w:t>
      </w:r>
      <w:r>
        <w:t xml:space="preserve">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bookmarkEnd w:id="688"/>
    <w:bookmarkStart w:id="691" w:name="boasting"/>
    <w:p>
      <w:pPr>
        <w:pStyle w:val="Heading3"/>
      </w:pPr>
      <w:r>
        <w:t xml:space="preserve">18.1.5 Boasting</w:t>
      </w:r>
    </w:p>
    <w:p>
      <w:pPr>
        <w:pStyle w:val="FirstParagraph"/>
      </w:pPr>
      <w:r>
        <w:t xml:space="preserve">The final act of self-exaltation would be boasting.</w:t>
      </w:r>
      <w:r>
        <w:rPr>
          <w:rStyle w:val="FootnoteReference"/>
        </w:rPr>
        <w:footnoteReference w:id="689"/>
      </w:r>
      <w:r>
        <w:t xml:space="preserve"> </w:t>
      </w:r>
      <w:r>
        <w:t xml:space="preserve">Boasting is prohibited. This can also take many forms involving pride and self-satisfaction, designed to convey a sense of superiority. These forms can include commonly used reasons for prejudice, such as skin 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pPr>
        <w:pStyle w:val="BodyText"/>
      </w:pPr>
      <w:r>
        <w:t xml:space="preserve">There is no right to self-exaltation, and all believers have a responsibility to refrain from self-exaltation and from exalting others. If anyone does, the best response would be to remind them we are</w:t>
      </w:r>
      <w:r>
        <w:t xml:space="preserve"> </w:t>
      </w:r>
      <w:r>
        <w:t xml:space="preserve">“</w:t>
      </w:r>
      <w:r>
        <w:t xml:space="preserve">all created from water, and unto dust (we) shall return.</w:t>
      </w:r>
      <w:r>
        <w:t xml:space="preserve">”</w:t>
      </w:r>
      <w:r>
        <w:rPr>
          <w:rStyle w:val="FootnoteReference"/>
        </w:rPr>
        <w:footnoteReference w:id="690"/>
      </w:r>
    </w:p>
    <w:p>
      <w:pPr>
        <w:pStyle w:val="BodyText"/>
      </w:pPr>
      <w:r>
        <w:rPr>
          <w:iCs/>
          <w:i/>
        </w:rPr>
        <w:t xml:space="preserve">Reflection: Where do I subtly elevate my voice, knowledge, or spiritual practice above others, and what would humility look like in those moments?</w:t>
      </w:r>
    </w:p>
    <w:p>
      <w:pPr>
        <w:pStyle w:val="BodyText"/>
      </w:pPr>
      <w:r>
        <w:t xml:space="preserve">This next section shifts from inner pride to outward words, because community safety begins with how we speak.</w:t>
      </w:r>
    </w:p>
    <w:bookmarkEnd w:id="691"/>
    <w:bookmarkEnd w:id="692"/>
    <w:bookmarkStart w:id="708" w:name="prohibited-speech"/>
    <w:p>
      <w:pPr>
        <w:pStyle w:val="Heading2"/>
      </w:pPr>
      <w:r>
        <w:t xml:space="preserve">18.2 Prohibited Speech</w:t>
      </w:r>
    </w:p>
    <w:p>
      <w:pPr>
        <w:pStyle w:val="FirstParagraph"/>
      </w:pPr>
      <w:r>
        <w:t xml:space="preserve">The next set of prohibitions is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bookmarkStart w:id="693" w:name="causing-sadness"/>
    <w:p>
      <w:pPr>
        <w:pStyle w:val="Heading3"/>
      </w:pPr>
      <w:r>
        <w:t xml:space="preserve">18.2.1 Causing Sadness</w:t>
      </w:r>
    </w:p>
    <w:p>
      <w:pPr>
        <w:pStyle w:val="FirstParagraph"/>
      </w:pPr>
      <w:r>
        <w:t xml:space="preserve">The foundation of this section is the responsibility from section #148 of the Kitáb-i-Aqdas. In the Persian Bayán’s Váḥid 7 Gate 18, the Báb instituted a fine of nineteen mithqáls for anyone who caused sadness to another’s heart and soul with their speech and conduct. Bahá’u’lláh restated this exact punitive law, but repealed the fine. Instead, He requires us to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bookmarkEnd w:id="693"/>
    <w:bookmarkStart w:id="695" w:name="slander"/>
    <w:p>
      <w:pPr>
        <w:pStyle w:val="Heading3"/>
      </w:pPr>
      <w:r>
        <w:t xml:space="preserve">18.2.2 Slander</w:t>
      </w:r>
    </w:p>
    <w:p>
      <w:pPr>
        <w:pStyle w:val="FirstParagraph"/>
      </w:pPr>
      <w:r>
        <w:t xml:space="preserve">Slander is prohibited.</w:t>
      </w:r>
      <w:r>
        <w:rPr>
          <w:rStyle w:val="FootnoteReference"/>
        </w:rPr>
        <w:footnoteReference w:id="694"/>
      </w:r>
      <w:r>
        <w:t xml:space="preserve"> </w:t>
      </w:r>
      <w:r>
        <w:t xml:space="preserve">Slander, according to Merriam-Webster and LegalZoom, is a form of spoken communication that is both false and malicious, and is designed to injure the reputation of another. If the speech is true, it is not slander. If it is false but makes another look good, it is not slander. This could differentiate it from libel, which is written, but as of now I am uncertain if Bahá’u’lláh differentiated between oral and written speech. My gut feeling is that both would be included, but I have no evidence of this for now other than Bahá’u’lláh’s stern responses to written statements which seemed like libel.</w:t>
      </w:r>
    </w:p>
    <w:bookmarkEnd w:id="695"/>
    <w:bookmarkStart w:id="697" w:name="backbiting"/>
    <w:p>
      <w:pPr>
        <w:pStyle w:val="Heading3"/>
      </w:pPr>
      <w:r>
        <w:t xml:space="preserve">18.2.3 Backbiting</w:t>
      </w:r>
    </w:p>
    <w:p>
      <w:pPr>
        <w:pStyle w:val="FirstParagraph"/>
      </w:pPr>
      <w:r>
        <w:t xml:space="preserve">Backbiting is prohibited.</w:t>
      </w:r>
      <w:r>
        <w:rPr>
          <w:rStyle w:val="FootnoteReference"/>
        </w:rPr>
        <w:footnoteReference w:id="696"/>
      </w:r>
      <w:r>
        <w:t xml:space="preserve"> </w:t>
      </w:r>
      <w:r>
        <w:t xml:space="preserve">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pPr>
        <w:pStyle w:val="BodyText"/>
      </w:pPr>
      <w:r>
        <w:t xml:space="preserve">What does it mean for speech to be true? The standard I would propose is for the speech to be fully accurate to what was said, whether it be verbatim quotes or paraphrasing to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pPr>
        <w:pStyle w:val="BodyText"/>
      </w:pPr>
      <w:r>
        <w:t xml:space="preserve">Finally, slander and backbiting are tools used to boast. By trying to injure someone’s reputation through slander, you are also trying to boost your own reputation in comparison.</w:t>
      </w:r>
    </w:p>
    <w:bookmarkEnd w:id="697"/>
    <w:bookmarkStart w:id="700" w:name="contention-and-disputing"/>
    <w:p>
      <w:pPr>
        <w:pStyle w:val="Heading3"/>
      </w:pPr>
      <w:r>
        <w:t xml:space="preserve">18.2.4 Contention and Disputing</w:t>
      </w:r>
    </w:p>
    <w:p>
      <w:pPr>
        <w:pStyle w:val="FirstParagraph"/>
      </w:pPr>
      <w:r>
        <w:t xml:space="preserve">Contention and disputing</w:t>
      </w:r>
      <w:r>
        <w:rPr>
          <w:rStyle w:val="FootnoteReference"/>
        </w:rPr>
        <w:footnoteReference w:id="698"/>
      </w:r>
      <w:r>
        <w:t xml:space="preserve"> </w:t>
      </w:r>
      <w:r>
        <w:t xml:space="preserve">are forbidden. A dispute is basically a failure to agree. The basic reason why a dispute can persist is that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699"/>
      </w:r>
      <w:r>
        <w:t xml:space="preserve"> </w:t>
      </w:r>
      <w:r>
        <w:t xml:space="preserve">and to be willing to let go of their original contention, even if they feel they are most right. To let go of their original contention requires moving your position to the point of moderation (a virtue) or deciding that you have no control over the other’s position and letting it go. Having a detachment from outcomes is vital to resolution.</w:t>
      </w:r>
    </w:p>
    <w:bookmarkEnd w:id="700"/>
    <w:bookmarkStart w:id="702" w:name="objecting"/>
    <w:p>
      <w:pPr>
        <w:pStyle w:val="Heading3"/>
      </w:pPr>
      <w:r>
        <w:t xml:space="preserve">18.2.5 Objecting</w:t>
      </w:r>
    </w:p>
    <w:p>
      <w:pPr>
        <w:pStyle w:val="FirstParagraph"/>
      </w:pPr>
      <w:r>
        <w:t xml:space="preserve">Objecting is prohibited.</w:t>
      </w:r>
      <w:r>
        <w:rPr>
          <w:rStyle w:val="FootnoteReference"/>
        </w:rPr>
        <w:footnoteReference w:id="701"/>
      </w:r>
      <w:r>
        <w:t xml:space="preserve"> </w:t>
      </w:r>
      <w:r>
        <w:t xml:space="preserve">This is a seemingly broad concept and, in my opinion, it is one that would be the most difficult to practice. An objection is a feeling (private) or expression (public) of disapproval. I could have included this in the private self discussion, but I felt this would be more relevant for the social life. However, all objection starts with the private self. The primary reason a person objects is because you feel something is wrong and it needs to be corrected. This can include individual objection or group-based objection such as assembling to protest.</w:t>
      </w:r>
    </w:p>
    <w:p>
      <w:pPr>
        <w:pStyle w:val="BodyText"/>
      </w:pPr>
      <w:r>
        <w:t xml:space="preserve">What if you feel you are right? I see two pathways to answer this question. The first pathway would be to explore why you object, the consequences of your objecting for yourself and others, and to decide to let go of your objection. The second pathway is that, after exploring why you object, you decide to express it once in a constructive method. One constructive method I feel is useful is the Socratic method. According to Wikipedia,</w:t>
      </w:r>
    </w:p>
    <w:p>
      <w:pPr>
        <w:pStyle w:val="BlockText"/>
      </w:pPr>
      <w:r>
        <w:t xml:space="preserve">“</w:t>
      </w:r>
      <w:r>
        <w:t xml:space="preserve">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r>
        <w:t xml:space="preserve">”</w:t>
      </w:r>
    </w:p>
    <w:p>
      <w:pPr>
        <w:pStyle w:val="FirstParagraph"/>
      </w:pPr>
      <w:r>
        <w:t xml:space="preserve">One key aspect of this method is that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Still, someone who is boastful may not take kindly to being asked questions designed for a deeper understanding. Be mindful in how this method is used to prevent further conflict.</w:t>
      </w:r>
    </w:p>
    <w:p>
      <w:pPr>
        <w:pStyle w:val="BodyText"/>
      </w:pPr>
      <w:r>
        <w:t xml:space="preserve">Another constructive method would be to offer a solution to what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bookmarkEnd w:id="702"/>
    <w:bookmarkStart w:id="704" w:name="raising-voices-in-public-remembrance"/>
    <w:p>
      <w:pPr>
        <w:pStyle w:val="Heading3"/>
      </w:pPr>
      <w:r>
        <w:t xml:space="preserve">18.2.6 Raising Voices in Public Remembrance</w:t>
      </w:r>
    </w:p>
    <w:p>
      <w:pPr>
        <w:pStyle w:val="FirstParagraph"/>
      </w:pPr>
      <w:r>
        <w:t xml:space="preserve">Bahá’u’lláh prohibits raising voices in streets or marketplaces in remembrance.</w:t>
      </w:r>
      <w:r>
        <w:rPr>
          <w:rStyle w:val="FootnoteReference"/>
        </w:rPr>
        <w:footnoteReference w:id="703"/>
      </w:r>
      <w:r>
        <w:t xml:space="preserve"> </w:t>
      </w:r>
      <w:r>
        <w:t xml:space="preserve">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bookmarkEnd w:id="704"/>
    <w:bookmarkStart w:id="707" w:name="regarding-books-and-other-writings"/>
    <w:p>
      <w:pPr>
        <w:pStyle w:val="Heading3"/>
      </w:pPr>
      <w:r>
        <w:t xml:space="preserve">18.2.7 Regarding Books and Other Writings</w:t>
      </w:r>
    </w:p>
    <w:p>
      <w:pPr>
        <w:pStyle w:val="FirstParagraph"/>
      </w:pPr>
      <w:r>
        <w:t xml:space="preserve">We are prohibited from reading sciences which lead to disputes.</w:t>
      </w:r>
      <w:r>
        <w:rPr>
          <w:rStyle w:val="FootnoteReference"/>
        </w:rPr>
        <w:footnoteReference w:id="705"/>
      </w:r>
      <w:r>
        <w:t xml:space="preserve"> </w:t>
      </w:r>
      <w:r>
        <w:t xml:space="preserve">This could be expanded to any new types of media introduced since 1873, when the Kitáb-i-Aqdas was written. This can be quite expansive, but it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706"/>
      </w:r>
      <w:r>
        <w:t xml:space="preserve"> </w:t>
      </w:r>
      <w:r>
        <w:t xml:space="preserve">Everyone has a right to produce whatever content they want. Censorship is forbidden. We are responsible for what we consume.</w:t>
      </w:r>
    </w:p>
    <w:p>
      <w:pPr>
        <w:pStyle w:val="BodyText"/>
      </w:pPr>
      <w:r>
        <w:rPr>
          <w:iCs/>
          <w:i/>
        </w:rPr>
        <w:t xml:space="preserve">Reflection: How often do my words protect another person’s dignity, and when might they quietly erode it?</w:t>
      </w:r>
    </w:p>
    <w:p>
      <w:pPr>
        <w:pStyle w:val="BodyText"/>
      </w:pPr>
      <w:r>
        <w:t xml:space="preserve">This next section connects small violations of dignity to the larger social descent into oppression.</w:t>
      </w:r>
    </w:p>
    <w:bookmarkEnd w:id="707"/>
    <w:bookmarkEnd w:id="708"/>
    <w:bookmarkStart w:id="709" w:name="dehumanization"/>
    <w:p>
      <w:pPr>
        <w:pStyle w:val="Heading2"/>
      </w:pPr>
      <w:r>
        <w:t xml:space="preserve">18.3 Dehumanization</w:t>
      </w:r>
    </w:p>
    <w:p>
      <w:pPr>
        <w:pStyle w:val="FirstParagraph"/>
      </w:pPr>
      <w:r>
        <w:t xml:space="preserve">Self-exaltation and the types of prohibited speech are quite harmful to souls. In Chapter 2, we learned how the souls are created noble and all souls are the temples of a singular mankind. The protections above ensure that souls can continue to be treated as noble and as sacred temples. When those protections are violated, we start down a dangerous and slippery road. This is the road toward dehumanization.</w:t>
      </w:r>
    </w:p>
    <w:p>
      <w:pPr>
        <w:pStyle w:val="BodyText"/>
      </w:pPr>
      <w:r>
        <w:t xml:space="preserve">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 to deprive you of the very things which make you human. This is the process of dehumanization. Another places you as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pPr>
        <w:pStyle w:val="BodyText"/>
      </w:pPr>
      <w:r>
        <w:t xml:space="preserve">Another aspect of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pPr>
        <w:pStyle w:val="BodyText"/>
      </w:pPr>
      <w:r>
        <w:t xml:space="preserve">We have a right to be free from dehumanization and a responsibility to view every soul as capable of nobility, even if it feels as though they are falling short of that standard. We have a responsibility to ensure no institution dehumanizes anyone, nor deprives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pPr>
        <w:pStyle w:val="BodyText"/>
      </w:pPr>
      <w:r>
        <w:t xml:space="preserve">The right hand always has the choice of helping the left hand, and our prayers and deeds can help restore temples which have fallen into a state of disrepair. Our hands must always be active to retain or restore every person’s inherent and rightful nobility, from birth and beyond death.</w:t>
      </w:r>
    </w:p>
    <w:p>
      <w:pPr>
        <w:pStyle w:val="BodyText"/>
      </w:pPr>
      <w:r>
        <w:rPr>
          <w:iCs/>
          <w:i/>
        </w:rPr>
        <w:t xml:space="preserve">Reflection: What small patterns in my thinking or behavior could contribute to seeing another person as less fully human?</w:t>
      </w:r>
    </w:p>
    <w:p>
      <w:pPr>
        <w:pStyle w:val="BodyText"/>
      </w:pPr>
      <w:r>
        <w:t xml:space="preserve">This next section lists the core violent and oppressive acts the community must restrain, with justice shaped by both law and conscience.</w:t>
      </w:r>
    </w:p>
    <w:bookmarkEnd w:id="709"/>
    <w:bookmarkStart w:id="722" w:name="violent-and-oppressive-acts"/>
    <w:p>
      <w:pPr>
        <w:pStyle w:val="Heading2"/>
      </w:pPr>
      <w:r>
        <w:t xml:space="preserve">18.4 Violent and Oppressive Acts</w:t>
      </w:r>
    </w:p>
    <w:p>
      <w:pPr>
        <w:pStyle w:val="FirstParagraph"/>
      </w:pPr>
      <w:r>
        <w:t xml:space="preserve">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eight, but the intersection of these eight aspects should cover most situations if anyone were to appreciate a small code of laws.</w:t>
      </w:r>
    </w:p>
    <w:p>
      <w:pPr>
        <w:pStyle w:val="BodyText"/>
      </w:pPr>
      <w:r>
        <w:t xml:space="preserve">These will be listed in no particular order:</w:t>
      </w:r>
    </w:p>
    <w:p>
      <w:pPr>
        <w:pStyle w:val="BodyText"/>
      </w:pPr>
      <w:r>
        <w:t xml:space="preserve">Law #1: Carrying weapons.</w:t>
      </w:r>
      <w:r>
        <w:rPr>
          <w:rStyle w:val="FootnoteReference"/>
        </w:rPr>
        <w:footnoteReference w:id="710"/>
      </w:r>
      <w:r>
        <w:t xml:space="preserve"> </w:t>
      </w:r>
      <w:r>
        <w:t xml:space="preserve">The only exception is during a time of necessity. Ownership is not prohibited. No punishment is specified. I would consider expanding this to include objects not typically used as weapons but carried with the intention of being used as a weapon.</w:t>
      </w:r>
    </w:p>
    <w:p>
      <w:pPr>
        <w:pStyle w:val="BodyText"/>
      </w:pPr>
      <w:r>
        <w:t xml:space="preserve">Law #2: Striking another (assault and battery)</w:t>
      </w:r>
      <w:r>
        <w:rPr>
          <w:rStyle w:val="FootnoteReference"/>
        </w:rPr>
        <w:footnoteReference w:id="711"/>
      </w:r>
      <w:r>
        <w:t xml:space="preserve">. For injuries to the head and body</w:t>
      </w:r>
      <w:r>
        <w:rPr>
          <w:rStyle w:val="FootnoteReference"/>
        </w:rPr>
        <w:footnoteReference w:id="712"/>
      </w:r>
      <w:r>
        <w:t xml:space="preserve"> </w:t>
      </w:r>
      <w:r>
        <w:t xml:space="preserve">there are unspecified fines for each level of severity. The fines are called diyah, which means blood money. 33% of all diyah is paid to the Houses of Justice</w:t>
      </w:r>
      <w:r>
        <w:rPr>
          <w:rStyle w:val="FootnoteReference"/>
        </w:rPr>
        <w:footnoteReference w:id="713"/>
      </w:r>
      <w:r>
        <w:t xml:space="preserve"> </w:t>
      </w:r>
      <w:r>
        <w:t xml:space="preserve">and the other 66% is offered as compensation to the injured person.</w:t>
      </w:r>
    </w:p>
    <w:p>
      <w:pPr>
        <w:pStyle w:val="BodyText"/>
      </w:pPr>
      <w:r>
        <w:t xml:space="preserve">Law #3: There is a fine for manslaughter and other accidental killing.</w:t>
      </w:r>
      <w:r>
        <w:rPr>
          <w:rStyle w:val="FootnoteReference"/>
        </w:rPr>
        <w:footnoteReference w:id="714"/>
      </w:r>
      <w:r>
        <w:t xml:space="preserve"> </w:t>
      </w:r>
      <w:r>
        <w:t xml:space="preserve">There are no exceptions. The diyah payment is 100 Bayánic mithqáls of gold (See Appendix F) for the family of the deceased.</w:t>
      </w:r>
    </w:p>
    <w:p>
      <w:pPr>
        <w:pStyle w:val="BodyText"/>
      </w:pPr>
      <w:r>
        <w:t xml:space="preserve">Law #4: Murder (Homicide).</w:t>
      </w:r>
      <w:r>
        <w:rPr>
          <w:rStyle w:val="FootnoteReference"/>
        </w:rPr>
        <w:footnoteReference w:id="715"/>
      </w:r>
      <w:r>
        <w:t xml:space="preserve"> </w:t>
      </w:r>
      <w:r>
        <w:t xml:space="preserve">The punishment is execution or life imprisonment.</w:t>
      </w:r>
      <w:r>
        <w:rPr>
          <w:rStyle w:val="FootnoteReference"/>
        </w:rPr>
        <w:footnoteReference w:id="716"/>
      </w:r>
    </w:p>
    <w:p>
      <w:pPr>
        <w:pStyle w:val="BodyText"/>
      </w:pPr>
      <w:r>
        <w:t xml:space="preserve">Law #5: Trespassing.</w:t>
      </w:r>
      <w:r>
        <w:rPr>
          <w:rStyle w:val="FootnoteReference"/>
        </w:rPr>
        <w:footnoteReference w:id="717"/>
      </w:r>
      <w:r>
        <w:t xml:space="preserve"> </w:t>
      </w:r>
      <w:r>
        <w:t xml:space="preserve">There is no punishment specified.</w:t>
      </w:r>
    </w:p>
    <w:p>
      <w:pPr>
        <w:pStyle w:val="BodyText"/>
      </w:pPr>
      <w:r>
        <w:t xml:space="preserve">Law #6: Theft (stealing).</w:t>
      </w:r>
      <w:r>
        <w:rPr>
          <w:rStyle w:val="FootnoteReference"/>
        </w:rPr>
        <w:footnoteReference w:id="718"/>
      </w:r>
      <w:r>
        <w:t xml:space="preserve"> </w:t>
      </w:r>
      <w:r>
        <w:t xml:space="preserve">The 1st and 2nd offenses include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pPr>
        <w:pStyle w:val="BodyText"/>
      </w:pPr>
      <w:r>
        <w:t xml:space="preserve">Law #7: Arson</w:t>
      </w:r>
      <w:r>
        <w:rPr>
          <w:rStyle w:val="FootnoteReference"/>
        </w:rPr>
        <w:footnoteReference w:id="719"/>
      </w:r>
      <w:r>
        <w:t xml:space="preserve"> </w:t>
      </w:r>
      <w:r>
        <w:t xml:space="preserve">has a punishment of either execution or life imprisonment. I do want to note that this seems harsh compared to certain legal standards, but arson is impactful. It deprives a person of shelter, wealth, and potentially life. According to the US Fire Administration, in 2023 there were 344,600 residential fires which caused 2,890 deaths, 10,400 injuries, and over $11 billion USD in property losses. Even if loss of life is unintentional, the arson is an intentional act.</w:t>
      </w:r>
    </w:p>
    <w:p>
      <w:pPr>
        <w:pStyle w:val="BodyText"/>
      </w:pPr>
      <w:r>
        <w:t xml:space="preserve">Law #8: Selling and buying people</w:t>
      </w:r>
      <w:r>
        <w:rPr>
          <w:rStyle w:val="FootnoteReference"/>
        </w:rPr>
        <w:footnoteReference w:id="720"/>
      </w:r>
      <w:r>
        <w:t xml:space="preserve">, without any stated punishment.</w:t>
      </w:r>
    </w:p>
    <w:bookmarkStart w:id="721" w:name="intersection-of-laws-an-example-of-rape"/>
    <w:p>
      <w:pPr>
        <w:pStyle w:val="Heading3"/>
      </w:pPr>
      <w:r>
        <w:t xml:space="preserve">18.4.1 Intersection of Laws: An Example of Rape</w:t>
      </w:r>
    </w:p>
    <w:p>
      <w:pPr>
        <w:pStyle w:val="FirstParagraph"/>
      </w:pPr>
      <w:r>
        <w:t xml:space="preserve">One might read the Kitáb-i-Aqdas and wonder why a crime such as rape is not specified. I believe it is because rape includes many aspects of these laws. Rape often includes the use of a weapon, in this case whatever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pPr>
        <w:pStyle w:val="BodyText"/>
      </w:pPr>
      <w:r>
        <w:t xml:space="preserve">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pPr>
        <w:pStyle w:val="BodyText"/>
      </w:pPr>
      <w:r>
        <w:rPr>
          <w:iCs/>
          <w:i/>
        </w:rPr>
        <w:t xml:space="preserve">Reflection: How do clear boundaries around harm shape my understanding of justice, responsibility, and protection within community?</w:t>
      </w:r>
    </w:p>
    <w:p>
      <w:pPr>
        <w:pStyle w:val="BodyText"/>
      </w:pPr>
      <w:r>
        <w:t xml:space="preserve">This concludes the basic foundations of the social life. In the next chapter, we move from protection to construction as we transition toward building and maintaining loving relationships, marriage, parenting, and divorce.</w:t>
      </w:r>
    </w:p>
    <w:p>
      <w:r>
        <w:br w:type="page"/>
      </w:r>
    </w:p>
    <w:bookmarkEnd w:id="721"/>
    <w:bookmarkEnd w:id="722"/>
    <w:bookmarkEnd w:id="723"/>
    <w:bookmarkStart w:id="773" w:name="affectionate-relationships"/>
    <w:p>
      <w:pPr>
        <w:pStyle w:val="Heading1"/>
      </w:pPr>
      <w:r>
        <w:t xml:space="preserve">19. Affectionate Relationships</w:t>
      </w:r>
    </w:p>
    <w:p>
      <w:pPr>
        <w:pStyle w:val="FirstParagraph"/>
      </w:pPr>
      <w:r>
        <w:t xml:space="preserve">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pPr>
        <w:pStyle w:val="BodyText"/>
      </w:pPr>
      <w:r>
        <w:t xml:space="preserve">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pPr>
        <w:pStyle w:val="BodyText"/>
      </w:pPr>
      <w:r>
        <w:t xml:space="preserve">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bookmarkStart w:id="753" w:name="marriage-1"/>
    <w:p>
      <w:pPr>
        <w:pStyle w:val="Heading2"/>
      </w:pPr>
      <w:r>
        <w:t xml:space="preserve">19.1 Marriage</w:t>
      </w:r>
    </w:p>
    <w:p>
      <w:pPr>
        <w:pStyle w:val="FirstParagraph"/>
      </w:pPr>
      <w:r>
        <w:t xml:space="preserve">Marriage is enjoined upon us.</w:t>
      </w:r>
      <w:r>
        <w:rPr>
          <w:rStyle w:val="FootnoteReference"/>
        </w:rPr>
        <w:footnoteReference w:id="724"/>
      </w:r>
      <w:r>
        <w:t xml:space="preserve"> </w:t>
      </w:r>
      <w:r>
        <w:t xml:space="preserve">Enjoined is also used in the counsel to pray. This means it is part of the divine Doctor’s prescription for us to be healthy. The Báb, when He described marriage being enjoined, reinforced the fact that it is a firm obligation.</w:t>
      </w:r>
      <w:r>
        <w:rPr>
          <w:rStyle w:val="FootnoteReference"/>
        </w:rPr>
        <w:footnoteReference w:id="725"/>
      </w:r>
      <w:r>
        <w:t xml:space="preserve"> </w:t>
      </w:r>
      <w:r>
        <w:t xml:space="preserve">Bahá’u’lláh instructed monks to leave their seclusion so they may bear fruits and enter into wedlock.</w:t>
      </w:r>
      <w:r>
        <w:rPr>
          <w:rStyle w:val="FootnoteReference"/>
        </w:rPr>
        <w:footnoteReference w:id="726"/>
      </w:r>
      <w:r>
        <w:t xml:space="preserve"> </w:t>
      </w:r>
      <w:r>
        <w:t xml:space="preserve">To a particular believer, Bahá’u’lláh said marriage is not permitted to be passed by as it is God’s tradition.</w:t>
      </w:r>
      <w:r>
        <w:rPr>
          <w:rStyle w:val="FootnoteReference"/>
        </w:rPr>
        <w:footnoteReference w:id="727"/>
      </w:r>
    </w:p>
    <w:bookmarkStart w:id="729" w:name="purpose-of-marriage"/>
    <w:p>
      <w:pPr>
        <w:pStyle w:val="Heading3"/>
      </w:pPr>
      <w:r>
        <w:t xml:space="preserve">19.1.1 Purpose of Marriage</w:t>
      </w:r>
    </w:p>
    <w:p>
      <w:pPr>
        <w:pStyle w:val="FirstParagraph"/>
      </w:pPr>
      <w:r>
        <w:t xml:space="preserve">From the second paragraph of the Marriage Prayer (I am unable to find the first), Bahá’u’lláh says marriage is a</w:t>
      </w:r>
      <w:r>
        <w:t xml:space="preserve"> </w:t>
      </w:r>
      <w:r>
        <w:t xml:space="preserve">“</w:t>
      </w:r>
      <w:r>
        <w:t xml:space="preserve">fortress for well-being and salvation</w:t>
      </w:r>
      <w:r>
        <w:t xml:space="preserve">”</w:t>
      </w:r>
      <w:r>
        <w:t xml:space="preserve"> </w:t>
      </w:r>
      <w:r>
        <w:t xml:space="preserve">and</w:t>
      </w:r>
      <w:r>
        <w:t xml:space="preserve"> </w:t>
      </w:r>
      <w:r>
        <w:t xml:space="preserve">“</w:t>
      </w:r>
      <w:r>
        <w:t xml:space="preserve">that from you may appear he who will remember Me amongst My servants.</w:t>
      </w:r>
      <w:r>
        <w:t xml:space="preserve">”</w:t>
      </w:r>
      <w:r>
        <w:rPr>
          <w:rStyle w:val="FootnoteReference"/>
        </w:rPr>
        <w:footnoteReference w:id="728"/>
      </w:r>
      <w:r>
        <w:t xml:space="preserve"> </w:t>
      </w:r>
      <w:r>
        <w:t xml:space="preserve">These are the fruits that both the Báb described as</w:t>
      </w:r>
      <w:r>
        <w:t xml:space="preserve"> </w:t>
      </w:r>
      <w:r>
        <w:t xml:space="preserve">“</w:t>
      </w:r>
      <w:r>
        <w:t xml:space="preserve">a letter of their own being may remain to proclaim the unity of God.</w:t>
      </w:r>
      <w:r>
        <w:t xml:space="preserve">”</w:t>
      </w:r>
    </w:p>
    <w:p>
      <w:pPr>
        <w:pStyle w:val="BodyText"/>
      </w:pPr>
      <w:r>
        <w:t xml:space="preserve">The Bayán had recommended that believers separate if either partner is unable to fulfill the obligation of having a baby. In the Súríy-i-Haykal, Bahá’u’lláh says,</w:t>
      </w:r>
      <w:r>
        <w:t xml:space="preserve"> </w:t>
      </w:r>
      <w:r>
        <w:t xml:space="preserve">“</w:t>
      </w:r>
      <w:r>
        <w:t xml:space="preserve">But for man, who, on My earth, would remember Me, and how could My attributes and My names be revealed?</w:t>
      </w:r>
      <w:r>
        <w:t xml:space="preserve">”</w:t>
      </w:r>
      <w:r>
        <w:t xml:space="preserve"> </w:t>
      </w:r>
      <w:r>
        <w:t xml:space="preserve">Yet, in the Kitáb-i-Badí‘, as Bahá’u’lláh was addressing Azalí Bayánís, He rebukes those who say a woman who is barren has no value. Bahá’u’lláh says those who make such claims have barren hearts, minds, eyes, and are deprived of the mercy of God. The implication is that every person has a right to create a child, with a responsibility to do so if they are able to. Still, every person maintains the right to love, kindness, and all the other rights if they are unable to create a child. Cruelty is forbidden.</w:t>
      </w:r>
    </w:p>
    <w:p>
      <w:pPr>
        <w:pStyle w:val="BodyText"/>
      </w:pPr>
      <w:r>
        <w:t xml:space="preserve">What do you imagine when you hear the phrase a fortress for well-being and salvation? In my imagination, I like to relate the journey of an affectionate relationship and marriage to the journey of the soul to God the Beloved in Bahá’u’lláh’s</w:t>
      </w:r>
      <w:r>
        <w:t xml:space="preserve"> </w:t>
      </w:r>
      <w:r>
        <w:t xml:space="preserve">“</w:t>
      </w:r>
      <w:r>
        <w:t xml:space="preserve">The Seven Valleys,</w:t>
      </w:r>
      <w:r>
        <w:t xml:space="preserve">”</w:t>
      </w:r>
      <w:r>
        <w:t xml:space="preserve"> </w:t>
      </w:r>
      <w:r>
        <w:t xml:space="preserve">with the valley of unity being where a couple truly feels they are one. This unity helps provide emotional and spiritual stability through such methods as affection, trust, and loyalty. Each spouse is able and willing to shield the other, being the other’s fortress wall. As each acts in remembrance of the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in which they live. For the child, it provides stability to nurture their noble birthright. For the community, it serves as a lamp leading by example. In both ways, the married couple ensures that God is remembered across generations.</w:t>
      </w:r>
    </w:p>
    <w:p>
      <w:pPr>
        <w:pStyle w:val="BodyText"/>
      </w:pPr>
      <w:r>
        <w:t xml:space="preserve">Marriage, in this sense, is the very foundation of the constructive social life. Every mature person has a right to a fortress of well-being and salvation. No person has a responsibility to deny this right under any circumstances.</w:t>
      </w:r>
    </w:p>
    <w:bookmarkEnd w:id="729"/>
    <w:bookmarkStart w:id="730" w:name="who-may-marry-and-how-many"/>
    <w:p>
      <w:pPr>
        <w:pStyle w:val="Heading3"/>
      </w:pPr>
      <w:r>
        <w:t xml:space="preserve">19.1.2 Who May Marry and How Many?</w:t>
      </w:r>
    </w:p>
    <w:p>
      <w:pPr>
        <w:pStyle w:val="FirstParagraph"/>
      </w:pPr>
      <w:r>
        <w:t xml:space="preserve">Everywhere Bahá’u’lláh describes marriage, He does define it within the male and female dynamic. BH03181 says</w:t>
      </w:r>
      <w:r>
        <w:t xml:space="preserve"> </w:t>
      </w:r>
      <w:r>
        <w:t xml:space="preserve">“</w:t>
      </w:r>
      <w:r>
        <w:t xml:space="preserve">the Lord loves that His handmaidens be joined in marriage to His monotheistic servants.</w:t>
      </w:r>
      <w:r>
        <w:t xml:space="preserve">”</w:t>
      </w:r>
      <w:r>
        <w:t xml:space="preserve"> </w:t>
      </w:r>
      <w:r>
        <w:t xml:space="preserve">In the Aqdas He says,</w:t>
      </w:r>
      <w:r>
        <w:t xml:space="preserve"> </w:t>
      </w:r>
      <w:r>
        <w:t xml:space="preserve">“</w:t>
      </w:r>
      <w:r>
        <w:t xml:space="preserve">Beware that you do not exceed two wives. He who is content with one maid will ensure his own tranquility and hers as well.</w:t>
      </w:r>
      <w:r>
        <w:t xml:space="preserve">”</w:t>
      </w:r>
      <w:r>
        <w:t xml:space="preserve"> </w:t>
      </w:r>
      <w:r>
        <w:t xml:space="preserve">These verses explicitly say marriage is between a man and a woman.</w:t>
      </w:r>
    </w:p>
    <w:p>
      <w:pPr>
        <w:pStyle w:val="BodyText"/>
      </w:pPr>
      <w:r>
        <w:t xml:space="preserve">These verses also allow for two wives, (bigamy), with a promise of tranquility for a man who prefers monogamy. When looking at the divorce verses, such as in Kitáb-i-Aqdas #68, it suggests that a woman could also have a second husband. If she takes another husband, a new union is required to restore the first marriage. Bahá’u’lláh does not specify that she must divorce the second husband, although traditionally religious institutions would not allow this.</w:t>
      </w:r>
    </w:p>
    <w:p>
      <w:pPr>
        <w:pStyle w:val="BodyText"/>
      </w:pPr>
      <w:r>
        <w:t xml:space="preserve">I will explain this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pPr>
        <w:pStyle w:val="BodyText"/>
      </w:pPr>
      <w:r>
        <w:t xml:space="preserve">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bookmarkEnd w:id="730"/>
    <w:bookmarkStart w:id="739" w:name="consent"/>
    <w:p>
      <w:pPr>
        <w:pStyle w:val="Heading3"/>
      </w:pPr>
      <w:r>
        <w:t xml:space="preserve">19.1.3 Consent</w:t>
      </w:r>
    </w:p>
    <w:p>
      <w:pPr>
        <w:pStyle w:val="FirstParagraph"/>
      </w:pPr>
      <w:r>
        <w:t xml:space="preserve">Marriage requires the consent of both parties.</w:t>
      </w:r>
      <w:r>
        <w:rPr>
          <w:rStyle w:val="FootnoteReference"/>
        </w:rPr>
        <w:footnoteReference w:id="731"/>
      </w:r>
      <w:r>
        <w:t xml:space="preserve"> </w:t>
      </w:r>
      <w:r>
        <w:t xml:space="preserve">Consent can only be obtained by those who have attained maturity. The Maturity Matching Principle, established in</w:t>
      </w:r>
      <w:r>
        <w:t xml:space="preserve"> </w:t>
      </w:r>
      <w:r>
        <w:rPr>
          <w:highlight w:val="yellow"/>
        </w:rPr>
        <w:t xml:space="preserve">Chapter 14 and Chapter 15</w:t>
      </w:r>
      <w:r>
        <w:t xml:space="preserve">, governs who may consent to marriage. Two people at the same stage of maturity may marry with parental consent and community guidance. No person who has reached full maturity may marry a person who has not. Civil law governs where it sets a stricter age threshold.</w:t>
      </w:r>
    </w:p>
    <w:p>
      <w:pPr>
        <w:pStyle w:val="BodyText"/>
      </w:pPr>
      <w:r>
        <w:t xml:space="preserve">Age 11 marks the earliest age at which a person can consent to marriage, if they have the means and meet the rest of the requirements covered.</w:t>
      </w:r>
      <w:r>
        <w:rPr>
          <w:rStyle w:val="FootnoteReference"/>
        </w:rPr>
        <w:footnoteReference w:id="732"/>
      </w:r>
      <w:r>
        <w:t xml:space="preserve"> </w:t>
      </w:r>
      <w:r>
        <w:t xml:space="preserve">Remember in</w:t>
      </w:r>
      <w:r>
        <w:t xml:space="preserve"> </w:t>
      </w:r>
      <w:r>
        <w:rPr>
          <w:highlight w:val="yellow"/>
        </w:rPr>
        <w:t xml:space="preserve">Chapter 14</w:t>
      </w:r>
      <w:r>
        <w:t xml:space="preserve"> </w:t>
      </w:r>
      <w:r>
        <w:t xml:space="preserve">the prohibition of pederasty and the right to be free from this practice. No adult has a right to marry a child.</w:t>
      </w:r>
    </w:p>
    <w:p>
      <w:pPr>
        <w:pStyle w:val="BodyText"/>
      </w:pPr>
      <w:r>
        <w:t xml:space="preserve">Consent cannot be obtained through coercion or any type of threat. Consent is formally recognized for both the man and woman with a phrase signifying their devotion to God.</w:t>
      </w:r>
      <w:r>
        <w:rPr>
          <w:rStyle w:val="FootnoteReference"/>
        </w:rPr>
        <w:footnoteReference w:id="733"/>
      </w:r>
    </w:p>
    <w:p>
      <w:pPr>
        <w:pStyle w:val="BlockText"/>
      </w:pPr>
      <w:r>
        <w:t xml:space="preserve">“</w:t>
      </w:r>
      <w:r>
        <w:t xml:space="preserve">Indeed, I am for God, the Lord of the heavens and the Lord of the earth, the Lord of all things, the Lord of what is seen and unseen, the Lord of the worlds.</w:t>
      </w:r>
      <w:r>
        <w:t xml:space="preserve">”</w:t>
      </w:r>
    </w:p>
    <w:p>
      <w:pPr>
        <w:pStyle w:val="FirstParagraph"/>
      </w:pPr>
      <w:r>
        <w:t xml:space="preserve">Consent also involves payment of a dowry from the groom to the bride. If the man is living in a city, he must offer between 19 and 95 Bayanic mithqals of gold. For a man living in a village, the dowry is the same weight in silver.</w:t>
      </w:r>
      <w:r>
        <w:rPr>
          <w:rStyle w:val="FootnoteReference"/>
        </w:rPr>
        <w:footnoteReference w:id="734"/>
      </w:r>
      <w:r>
        <w:t xml:space="preserve"> </w:t>
      </w:r>
      <w:r>
        <w:t xml:space="preserve">This continues the Bayán’s law, which also says the dowry must be in incremental steps of 19, and nothing in between. The groom offers what he is willing or able to pay, and the bride chooses to accept. See Appendix F regarding the calculation of a Bayanic mithqal.</w:t>
      </w:r>
    </w:p>
    <w:p>
      <w:pPr>
        <w:pStyle w:val="BodyText"/>
      </w:pPr>
      <w:r>
        <w:t xml:space="preserve">I feel it should be noted that the dowry is not a bride price paid to the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waver. While women are equal in the eyes of God, it is also true that they often face unequal outcomes. Every believing groom has a responsibility to pay his bride the dowry, and every bride has a right to the dowry.</w:t>
      </w:r>
    </w:p>
    <w:p>
      <w:pPr>
        <w:pStyle w:val="BodyText"/>
      </w:pPr>
      <w:r>
        <w:t xml:space="preserve">Bahá’u’lláh also enjoins the consent of both parents of the bride and groom. This helps bring families together. He reminds us of the Qur’an and how that Holy Book relates kindness to parents to belief in the oneness of God.</w:t>
      </w:r>
      <w:r>
        <w:rPr>
          <w:rStyle w:val="FootnoteReference"/>
        </w:rPr>
        <w:footnoteReference w:id="735"/>
      </w:r>
      <w:r>
        <w:t xml:space="preserve"> </w:t>
      </w:r>
      <w:r>
        <w:t xml:space="preserve">He says there are hidden purposes with this command. At best, I believe this serves the purpose of reconciliation for any parent and child who might be estranged, and it offers an opportunity for parents who do not believe in God or Bahá’u’lláh to learn more about the Cause of God. At worst, two people who love each other may not get married. This can be a profound spiritual test for all involved.</w:t>
      </w:r>
    </w:p>
    <w:p>
      <w:pPr>
        <w:pStyle w:val="BodyText"/>
      </w:pPr>
      <w:r>
        <w:t xml:space="preserve">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736"/>
      </w:r>
      <w:r>
        <w:t xml:space="preserve"> </w:t>
      </w:r>
      <w:r>
        <w:t xml:space="preserve">He says as a consequence, relationships are not considered.</w:t>
      </w:r>
      <w:r>
        <w:t xml:space="preserve"> </w:t>
      </w:r>
      <w:r>
        <w:t xml:space="preserve">“</w:t>
      </w:r>
      <w:r>
        <w:t xml:space="preserve">Accepting souls are both fathers and sons, for they walk upon one path.</w:t>
      </w:r>
      <w:r>
        <w:t xml:space="preserve">”</w:t>
      </w:r>
    </w:p>
    <w:p>
      <w:pPr>
        <w:pStyle w:val="BodyText"/>
      </w:pPr>
      <w:r>
        <w:t xml:space="preserve">In one example, Bahá’u’lláh nominated Himself to be in place of the father of Mírzá Asadu’lláh Iṣfahání in his marriage with Gawhar in 1882.</w:t>
      </w:r>
      <w:r>
        <w:rPr>
          <w:rStyle w:val="FootnoteReference"/>
        </w:rPr>
        <w:footnoteReference w:id="737"/>
      </w:r>
      <w:r>
        <w:t xml:space="preserve"> </w:t>
      </w:r>
      <w:r>
        <w:t xml:space="preserve">Bahá’u’lláh could not attend in person, but it does suggest that the consent of parents carries a great deal of nuance. Ultimately, the Houses of Justice can appoint individuals to oversee marriages and determine such matters of consent. I think any House of Justice should be careful to focus on love, affection, and unity in such a way that discord and resentment are not created,</w:t>
      </w:r>
      <w:r>
        <w:rPr>
          <w:rStyle w:val="FootnoteReference"/>
        </w:rPr>
        <w:footnoteReference w:id="738"/>
      </w:r>
      <w:r>
        <w:t xml:space="preserve"> </w:t>
      </w:r>
      <w:r>
        <w:t xml:space="preserve">mirroring the example of Bahá’u’lláh.</w:t>
      </w:r>
    </w:p>
    <w:p>
      <w:pPr>
        <w:pStyle w:val="BodyText"/>
      </w:pPr>
      <w:r>
        <w:t xml:space="preserve">As we can see, consent is multi-layered. The community and parents who consent are not greater than the individual, nor can they prevent or force consent. The spouse’s consent is primary, parental consent is protective, and the community’s guidance is at most supervisory. This remains true regardless of which stage of Maturity Matching marriage is pursued.</w:t>
      </w:r>
    </w:p>
    <w:bookmarkEnd w:id="739"/>
    <w:bookmarkStart w:id="744" w:name="virginity"/>
    <w:p>
      <w:pPr>
        <w:pStyle w:val="Heading3"/>
      </w:pPr>
      <w:r>
        <w:t xml:space="preserve">19.1.4 Virginity</w:t>
      </w:r>
    </w:p>
    <w:p>
      <w:pPr>
        <w:pStyle w:val="FirstParagraph"/>
      </w:pPr>
      <w:r>
        <w:t xml:space="preserve">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740"/>
      </w:r>
      <w:r>
        <w:t xml:space="preserve"> </w:t>
      </w:r>
      <w:r>
        <w:t xml:space="preserve">There is regular counsel towards women to be chaste when He says,</w:t>
      </w:r>
      <w:r>
        <w:t xml:space="preserve"> </w:t>
      </w:r>
      <w:r>
        <w:t xml:space="preserve">“</w:t>
      </w:r>
      <w:r>
        <w:t xml:space="preserve">The greatest ornament for the handmaidens hath ever been and still is chastity and virtue. By God! The light of chastity illumineth the horizons of the spiritual worlds and its fragrance reacheth unto the Most Exalted Paradise.</w:t>
      </w:r>
      <w:r>
        <w:t xml:space="preserve">”</w:t>
      </w:r>
      <w:r>
        <w:rPr>
          <w:rStyle w:val="FootnoteReference"/>
        </w:rPr>
        <w:footnoteReference w:id="741"/>
      </w:r>
    </w:p>
    <w:p>
      <w:pPr>
        <w:pStyle w:val="BodyText"/>
      </w:pPr>
      <w:r>
        <w:t xml:space="preserve">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Rather, it is to ensure the bonds of affection are not ruled by lust or other biological impulses of the body. The bonds of affection are to be ruled by spiritual considerations.</w:t>
      </w:r>
    </w:p>
    <w:p>
      <w:pPr>
        <w:pStyle w:val="BodyText"/>
      </w:pPr>
      <w:r>
        <w:t xml:space="preserve">If one is solely attached to the concept of virginity, but overlooks other spiritual qualities, a marriage is going to have a difficult time. If a person has premarital sex, but later decides through spiritual practice to develop chastity, this person can be purified. All of the spiritual virtues have opportunities to shine more brightly and are never completely lost.</w:t>
      </w:r>
    </w:p>
    <w:p>
      <w:pPr>
        <w:pStyle w:val="BodyText"/>
      </w:pPr>
      <w:r>
        <w:t xml:space="preserve">To demonstrate this idea, I want to show two examples. In one, Bahá’u’lláh references Fátimih al-Zahrá, the daughter of the Seal of the Prophets, Muḥammad. She was married to ’Alí ibn Abí Ṭálib and they had at least four children. They are known in Shí‘ih Islam as the Ahl al-Bayt, where the Imams were descended. Bahá’u’lláh says,</w:t>
      </w:r>
      <w:r>
        <w:t xml:space="preserve"> </w:t>
      </w:r>
      <w:r>
        <w:t xml:space="preserve">“</w:t>
      </w:r>
      <w:r>
        <w:t xml:space="preserve">O Land of Ṣád, the Sun of Hijaz asks thee about His family, and the Virgin, the Chosen One, about her sons and daughter.</w:t>
      </w:r>
      <w:r>
        <w:t xml:space="preserve">”</w:t>
      </w:r>
      <w:r>
        <w:rPr>
          <w:rStyle w:val="FootnoteReference"/>
        </w:rPr>
        <w:footnoteReference w:id="742"/>
      </w:r>
      <w:r>
        <w:t xml:space="preserve"> </w:t>
      </w:r>
      <w:r>
        <w:t xml:space="preserve">How is it that a mother is given the title Virgin? This demonstrates that virginity is not solely a physical attribute but a spiritual condition for one who acts purely for the sake of God.</w:t>
      </w:r>
    </w:p>
    <w:p>
      <w:pPr>
        <w:pStyle w:val="BodyText"/>
      </w:pPr>
      <w:r>
        <w:t xml:space="preserve">In the second example, Bahá’u’lláh is discussing Mírzá Yaḥyá, the leader of the Bayání people who did not believe in Bahá’u’lláh. He says,</w:t>
      </w:r>
      <w:r>
        <w:t xml:space="preserve"> </w:t>
      </w:r>
      <w:r>
        <w:t xml:space="preserve">“</w:t>
      </w:r>
      <w:r>
        <w:t xml:space="preserve">Every year he would summon a virgin from the outlying regions, […] veiled by the imaginary veils of these idolatrous temples whose reality is evident from their deeds.</w:t>
      </w:r>
      <w:r>
        <w:t xml:space="preserve">”</w:t>
      </w:r>
      <w:r>
        <w:rPr>
          <w:rStyle w:val="FootnoteReference"/>
        </w:rPr>
        <w:footnoteReference w:id="743"/>
      </w:r>
      <w:r>
        <w:t xml:space="preserve"> </w:t>
      </w:r>
      <w:r>
        <w:t xml:space="preserve">In this example, the coveting of virgins is a form of idolatry, which is a veil between you and God.</w:t>
      </w:r>
    </w:p>
    <w:bookmarkEnd w:id="744"/>
    <w:bookmarkStart w:id="746" w:name="the-marriage-contract"/>
    <w:p>
      <w:pPr>
        <w:pStyle w:val="Heading3"/>
      </w:pPr>
      <w:r>
        <w:t xml:space="preserve">19.1.5 The Marriage Contract</w:t>
      </w:r>
    </w:p>
    <w:p>
      <w:pPr>
        <w:pStyle w:val="FirstParagraph"/>
      </w:pPr>
      <w:r>
        <w:t xml:space="preserve">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745"/>
      </w:r>
      <w:r>
        <w:t xml:space="preserve"> </w:t>
      </w:r>
      <w:r>
        <w:t xml:space="preserve">This particularly protects the rights of women from coercion. The Houses of Justice are to ensure that marriage is conducted according to the divine law. Each couple can add anything to the contract that they feel is important.</w:t>
      </w:r>
    </w:p>
    <w:p>
      <w:pPr>
        <w:pStyle w:val="BodyText"/>
      </w:pPr>
      <w:r>
        <w:t xml:space="preserve">One addition could be to state if the marriage is monogamous or polygamous. If it is monogamous, there is no possibility of future spouses within that marriage. If it is polygamous, consent would be a vital foundation. Both spouses and the newest spouse would all have to consent to this new union, along with the parents. If any person does not consent, the second marriage cannot be created. It is acceptable if the fortress is open to another, but never in such a way that the fortress imprisons one spouse. This ensures that each spouse retains the right to be free from coercion, with each bearing responsibility to honor the terms agreed upon.</w:t>
      </w:r>
    </w:p>
    <w:p>
      <w:pPr>
        <w:pStyle w:val="BodyText"/>
      </w:pPr>
      <w:r>
        <w:t xml:space="preserve">The marriage contract becomes nullified if the dowry is not paid, if one does not return home from travel by an agreed upon time, and if one of the spouses passes away.</w:t>
      </w:r>
    </w:p>
    <w:bookmarkEnd w:id="746"/>
    <w:bookmarkStart w:id="748" w:name="divorce"/>
    <w:p>
      <w:pPr>
        <w:pStyle w:val="Heading3"/>
      </w:pPr>
      <w:r>
        <w:t xml:space="preserve">19.1.6 Divorce</w:t>
      </w:r>
    </w:p>
    <w:p>
      <w:pPr>
        <w:pStyle w:val="FirstParagraph"/>
      </w:pPr>
      <w:r>
        <w:t xml:space="preserve">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747"/>
      </w:r>
      <w:r>
        <w:t xml:space="preserve"> </w:t>
      </w:r>
      <w:r>
        <w:t xml:space="preserve">Divorce requires a one-year waiting period for an opportunity for reconciliation and love to be reestablished. Divorce is only allowed three times, which also means a person is only allowed to be married three times, even if you believe a fourth marriage is guaranteed to never end. During the waiting period, they are still considered legally married and the marriage contract is in effect.</w:t>
      </w:r>
    </w:p>
    <w:bookmarkEnd w:id="748"/>
    <w:bookmarkStart w:id="749" w:name="discord"/>
    <w:p>
      <w:pPr>
        <w:pStyle w:val="Heading3"/>
      </w:pPr>
      <w:r>
        <w:t xml:space="preserve">19.1.7 Discord</w:t>
      </w:r>
    </w:p>
    <w:p>
      <w:pPr>
        <w:pStyle w:val="FirstParagraph"/>
      </w:pPr>
      <w:r>
        <w:t xml:space="preserve">Discord in a marriage is any kind of persistent conflict, hostility, aggression, a breach of trust, or even irreconcilable worldviews. If a marriage ever leads to the rights of one or both being violated regularly, it might be good to live separately. The responsibility to remain married should never infringe upon the rights to safety, love, kindness, and freedom from oppression. Individual goals that are not mutually beneficial could be a source of argument.</w:t>
      </w:r>
    </w:p>
    <w:bookmarkEnd w:id="749"/>
    <w:bookmarkStart w:id="750" w:name="aversion"/>
    <w:p>
      <w:pPr>
        <w:pStyle w:val="Heading3"/>
      </w:pPr>
      <w:r>
        <w:t xml:space="preserve">19.1.8 Aversion</w:t>
      </w:r>
    </w:p>
    <w:p>
      <w:pPr>
        <w:pStyle w:val="FirstParagraph"/>
      </w:pPr>
      <w:r>
        <w:t xml:space="preserve">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caused by a situation where each other’s constellation of virtues is no longer aligned, compatible, or changed so significantly that the spiritual bond is severed.</w:t>
      </w:r>
    </w:p>
    <w:bookmarkEnd w:id="750"/>
    <w:bookmarkStart w:id="752" w:name="adultery"/>
    <w:p>
      <w:pPr>
        <w:pStyle w:val="Heading3"/>
      </w:pPr>
      <w:r>
        <w:t xml:space="preserve">19.1.9 Adultery</w:t>
      </w:r>
    </w:p>
    <w:p>
      <w:pPr>
        <w:pStyle w:val="FirstParagraph"/>
      </w:pPr>
      <w:r>
        <w:t xml:space="preserve">Adultery is a breach of the marriage contract which is enforceable by Houses of Justice. For each man and woman who commits adultery, a fine must be paid of nine Bayanic mithqals of gold.</w:t>
      </w:r>
      <w:r>
        <w:rPr>
          <w:rStyle w:val="FootnoteReference"/>
        </w:rPr>
        <w:footnoteReference w:id="751"/>
      </w:r>
      <w:r>
        <w:t xml:space="preserve"> </w:t>
      </w:r>
      <w:r>
        <w:t xml:space="preserve">For each offense, the fine is doubled from the prior offense. This goes from 9 to 18 to 36 to 72 and so on. Bahá’u’lláh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pPr>
        <w:pStyle w:val="BodyText"/>
      </w:pPr>
      <w:r>
        <w:t xml:space="preserve">Adultery has also traditionally been treated as including all forms of extramarital sex, including people who are not married. One way I have personally considered this is within the scope of the age of maturity. What would happen if two people who are not mature or independent decide to have consensual sex? It would most likely be financially impossible for both of them to pay 9 Bayanic mithqals of gold. The reason I view adultery as being more about contract law is because of the seriousness of violating a contract. The Báb and Bahá’u’lláh repeatedly commanded people to honor their commitments, in both their personal and business lives, reflecting the virtues of trustworthiness and fidelity.</w:t>
      </w:r>
    </w:p>
    <w:p>
      <w:pPr>
        <w:pStyle w:val="BodyText"/>
      </w:pPr>
      <w:r>
        <w:rPr>
          <w:iCs/>
          <w:i/>
        </w:rPr>
        <w:t xml:space="preserve">Reflection: How do you see marriage shaping your capacity for unity, trust, and fidelity?</w:t>
      </w:r>
    </w:p>
    <w:p>
      <w:pPr>
        <w:pStyle w:val="BodyText"/>
      </w:pPr>
      <w:r>
        <w:t xml:space="preserve">To move outward from the marriage law, we can trace how affection forms and matures before a couple ever reaches wedlock.</w:t>
      </w:r>
    </w:p>
    <w:bookmarkEnd w:id="752"/>
    <w:bookmarkEnd w:id="753"/>
    <w:bookmarkStart w:id="767" w:name="Xd90a3c4931d0e873da6076d064212a065af83fc"/>
    <w:p>
      <w:pPr>
        <w:pStyle w:val="Heading2"/>
      </w:pPr>
      <w:r>
        <w:t xml:space="preserve">19.2 Affectionate Relationships Leading to Marriage</w:t>
      </w:r>
    </w:p>
    <w:p>
      <w:pPr>
        <w:pStyle w:val="FirstParagraph"/>
      </w:pPr>
      <w:r>
        <w:t xml:space="preserve">With marriage being a fortress of well-being and salvation, we understand that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that Bahá’u’lláh says that</w:t>
      </w:r>
      <w:r>
        <w:t xml:space="preserve"> </w:t>
      </w:r>
      <w:r>
        <w:t xml:space="preserve">“</w:t>
      </w:r>
      <w:r>
        <w:t xml:space="preserve">God loves unity and concord.</w:t>
      </w:r>
      <w:r>
        <w:t xml:space="preserve">”</w:t>
      </w:r>
      <w:r>
        <w:rPr>
          <w:rStyle w:val="FootnoteReference"/>
        </w:rPr>
        <w:footnoteReference w:id="754"/>
      </w:r>
      <w:r>
        <w:t xml:space="preserve"> </w:t>
      </w:r>
      <w:r>
        <w:t xml:space="preserve">In seeking an ideal, we shouldn’t risk limiting the ways unity and concord can manifest themselves in everyday life.</w:t>
      </w:r>
    </w:p>
    <w:bookmarkStart w:id="758" w:name="stage-1-friendship"/>
    <w:p>
      <w:pPr>
        <w:pStyle w:val="Heading3"/>
      </w:pPr>
      <w:r>
        <w:t xml:space="preserve">19.2.1 Stage 1: Friendship</w:t>
      </w:r>
    </w:p>
    <w:p>
      <w:pPr>
        <w:pStyle w:val="FirstParagraph"/>
      </w:pPr>
      <w:r>
        <w:t xml:space="preserve">As discussed in</w:t>
      </w:r>
      <w:r>
        <w:t xml:space="preserve"> </w:t>
      </w:r>
      <w:r>
        <w:rPr>
          <w:highlight w:val="yellow"/>
        </w:rPr>
        <w:t xml:space="preserve">Chapter 18</w:t>
      </w:r>
      <w:r>
        <w:t xml:space="preserve">, our first foundation is friendliness and fellowship</w:t>
      </w:r>
      <w:r>
        <w:rPr>
          <w:rStyle w:val="FootnoteReference"/>
        </w:rPr>
        <w:footnoteReference w:id="755"/>
      </w:r>
      <w:r>
        <w:t xml:space="preserve">, even with the followers of other religions.</w:t>
      </w:r>
      <w:r>
        <w:rPr>
          <w:rStyle w:val="FootnoteReference"/>
        </w:rPr>
        <w:footnoteReference w:id="756"/>
      </w:r>
      <w:r>
        <w:t xml:space="preserve"> </w:t>
      </w:r>
      <w:r>
        <w:t xml:space="preserve">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that they are welcome. In our interactions, we engage in light conversation and show genuine interest in their lives, such as who they are, what they do, and what they enjoy. We offer invitations to social activities and accept invitations when possible.</w:t>
      </w:r>
    </w:p>
    <w:p>
      <w:pPr>
        <w:pStyle w:val="BodyText"/>
      </w:pPr>
      <w:r>
        <w:t xml:space="preserve">Friendship requires mutual effort. Every person you come across may not be a friend. Bahá’u’lláh warns us not to associate with the wicked, nor seek companionship with them.</w:t>
      </w:r>
      <w:r>
        <w:rPr>
          <w:rStyle w:val="FootnoteReference"/>
        </w:rPr>
        <w:footnoteReference w:id="757"/>
      </w:r>
      <w:r>
        <w:t xml:space="preserve"> </w:t>
      </w:r>
      <w:r>
        <w:t xml:space="preserve">If someone comes up to you and does not start with a smile and a warm greeting, be cautious. If a stranger is focused on fulfilling immediate desires, they may not be a friend. Friendship is not a transaction.</w:t>
      </w:r>
    </w:p>
    <w:p>
      <w:pPr>
        <w:pStyle w:val="BodyText"/>
      </w:pPr>
      <w:r>
        <w:t xml:space="preserve">If a relationship only remains a friendship, this friendship is still a vital component in the Cause of God. This is the foundation of all other affectionate relationships.</w:t>
      </w:r>
    </w:p>
    <w:bookmarkEnd w:id="758"/>
    <w:bookmarkStart w:id="759" w:name="stage-2-fellowship"/>
    <w:p>
      <w:pPr>
        <w:pStyle w:val="Heading3"/>
      </w:pPr>
      <w:r>
        <w:t xml:space="preserve">19.2.2 Stage 2: Fellowship</w:t>
      </w:r>
    </w:p>
    <w:p>
      <w:pPr>
        <w:pStyle w:val="FirstParagraph"/>
      </w:pPr>
      <w:r>
        <w:t xml:space="preserve">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pPr>
        <w:pStyle w:val="BodyText"/>
      </w:pPr>
      <w:r>
        <w:t xml:space="preserve">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bookmarkEnd w:id="759"/>
    <w:bookmarkStart w:id="762" w:name="stage-3-spiritual-kinship"/>
    <w:p>
      <w:pPr>
        <w:pStyle w:val="Heading3"/>
      </w:pPr>
      <w:r>
        <w:t xml:space="preserve">19.2.3 Stage 3: Spiritual Kinship</w:t>
      </w:r>
    </w:p>
    <w:p>
      <w:pPr>
        <w:pStyle w:val="FirstParagraph"/>
      </w:pPr>
      <w:r>
        <w:t xml:space="preserve">From fellowship can come a relationship I am calling spiritual kinship. The foundation of this relationship is a shared belief in Bahá’u’lláh and living in the same Day of God. Distant souls are drawn closer</w:t>
      </w:r>
      <w:r>
        <w:rPr>
          <w:rStyle w:val="FootnoteReference"/>
        </w:rPr>
        <w:footnoteReference w:id="760"/>
      </w:r>
      <w:r>
        <w:t xml:space="preserve"> </w:t>
      </w:r>
      <w:r>
        <w:t xml:space="preserve">by walking one path together, drinking the same nectar, gazing towards the same horizon, and being secluded together in one abode. In spiritual kinship, believers feel as though they are parents, children, and siblings to each other even if this is untrue biologically and legally. This brings a new layer to the verse when the Kitáb-i-Aqdas says to show love and kindness to your kindred.</w:t>
      </w:r>
      <w:r>
        <w:rPr>
          <w:rStyle w:val="FootnoteReference"/>
        </w:rPr>
        <w:footnoteReference w:id="761"/>
      </w:r>
    </w:p>
    <w:p>
      <w:pPr>
        <w:pStyle w:val="BodyText"/>
      </w:pPr>
      <w:r>
        <w:t xml:space="preserve">The Hidden Words are, in my opinion, a pillar of spiritual kinship. Throughout the Arabic and Persian versions, Bahá’u’lláh enjoins us with a declaration,</w:t>
      </w:r>
      <w:r>
        <w:t xml:space="preserve"> </w:t>
      </w:r>
      <w:r>
        <w:t xml:space="preserve">“</w:t>
      </w:r>
      <w:r>
        <w:t xml:space="preserve">O Son…</w:t>
      </w:r>
      <w:r>
        <w:t xml:space="preserve">”</w:t>
      </w:r>
      <w:r>
        <w:t xml:space="preserve"> </w:t>
      </w:r>
      <w:r>
        <w:t xml:space="preserve">where each of us is both a Son of God, a Son of Bahá’u’lláh in His role as Father, and thus we are siblings of each other. For example, when the Arabic Hidden Word #38 says,</w:t>
      </w:r>
      <w:r>
        <w:t xml:space="preserve"> </w:t>
      </w:r>
      <w:r>
        <w:t xml:space="preserve">“</w:t>
      </w:r>
      <w:r>
        <w:t xml:space="preserve">grieve not in your distance from us,</w:t>
      </w:r>
      <w:r>
        <w:t xml:space="preserve">”</w:t>
      </w:r>
      <w:r>
        <w:t xml:space="preserve"> </w:t>
      </w:r>
      <w:r>
        <w:t xml:space="preserve">we can share in our grief as a single family who longs for nearness to God.</w:t>
      </w:r>
    </w:p>
    <w:bookmarkEnd w:id="762"/>
    <w:bookmarkStart w:id="763" w:name="stage-4-courtship"/>
    <w:p>
      <w:pPr>
        <w:pStyle w:val="Heading3"/>
      </w:pPr>
      <w:r>
        <w:t xml:space="preserve">19.2.4 Stage 4: Courtship</w:t>
      </w:r>
    </w:p>
    <w:p>
      <w:pPr>
        <w:pStyle w:val="FirstParagraph"/>
      </w:pPr>
      <w:r>
        <w:t xml:space="preserve">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bookmarkEnd w:id="763"/>
    <w:bookmarkStart w:id="766" w:name="stage-5-engagement"/>
    <w:p>
      <w:pPr>
        <w:pStyle w:val="Heading3"/>
      </w:pPr>
      <w:r>
        <w:t xml:space="preserve">19.2.5 Stage 5: Engagement</w:t>
      </w:r>
    </w:p>
    <w:p>
      <w:pPr>
        <w:pStyle w:val="FirstParagraph"/>
      </w:pPr>
      <w:r>
        <w:t xml:space="preserve">If courtship is successful, you are on the path towards marriage. When discussing marriage, Bahá’u’lláh counsels regarding the matter of marriage by saying,</w:t>
      </w:r>
      <w:r>
        <w:t xml:space="preserve"> </w:t>
      </w:r>
      <w:r>
        <w:t xml:space="preserve">“</w:t>
      </w:r>
      <w:r>
        <w:t xml:space="preserve">it behooves whosoever desires to enter into any matter to first hold fast to consultation and to act according to what appears therefrom, placing his trust in God, the Protector, the Self-Subsisting.</w:t>
      </w:r>
      <w:r>
        <w:t xml:space="preserve">”</w:t>
      </w:r>
      <w:r>
        <w:rPr>
          <w:rStyle w:val="FootnoteReference"/>
        </w:rPr>
        <w:footnoteReference w:id="764"/>
      </w:r>
      <w:r>
        <w:t xml:space="preserve"> </w:t>
      </w:r>
      <w:r>
        <w:t xml:space="preserve">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pPr>
        <w:pStyle w:val="BodyText"/>
      </w:pPr>
      <w:r>
        <w:t xml:space="preserve">Once engaged, Bahá’u’lláh advises that delaying the wedding is not recommended.</w:t>
      </w:r>
      <w:r>
        <w:rPr>
          <w:rStyle w:val="FootnoteReference"/>
        </w:rPr>
        <w:footnoteReference w:id="765"/>
      </w:r>
      <w:r>
        <w:t xml:space="preserve"> </w:t>
      </w:r>
      <w:r>
        <w:t xml:space="preserve">He did not define a hard limit, though, in the same advice, He said that the timing of the wedding is entirely up to the couple’s discretion. This might be something discussed by the couple and parents in their consultation.</w:t>
      </w:r>
    </w:p>
    <w:p>
      <w:pPr>
        <w:pStyle w:val="BodyText"/>
      </w:pPr>
      <w:r>
        <w:rPr>
          <w:iCs/>
          <w:i/>
        </w:rPr>
        <w:t xml:space="preserve">Reflection: Which stage most challenges you to balance affection with spiritual discipline?</w:t>
      </w:r>
    </w:p>
    <w:p>
      <w:pPr>
        <w:pStyle w:val="BodyText"/>
      </w:pPr>
      <w:r>
        <w:t xml:space="preserve">Before looking at other choices, it helps to name what happens when relationships jump ahead of their own foundations.</w:t>
      </w:r>
    </w:p>
    <w:bookmarkEnd w:id="766"/>
    <w:bookmarkEnd w:id="767"/>
    <w:bookmarkStart w:id="768" w:name="skipping-stages"/>
    <w:p>
      <w:pPr>
        <w:pStyle w:val="Heading2"/>
      </w:pPr>
      <w:r>
        <w:t xml:space="preserve">19.3 Skipping Stages</w:t>
      </w:r>
    </w:p>
    <w:p>
      <w:pPr>
        <w:pStyle w:val="FirstParagraph"/>
      </w:pPr>
      <w:r>
        <w:t xml:space="preserve">Life can be rather complex and messy, and sometimes a person can be ruled by their passions more than by their relationship with God. In modern life, it is common to start straight at courtship or a simulated marriage before the foundations of friendship have even been established. The more stages that are skipped, the more difficult it is to establish an enduring fortress for salvation and well-being. It is not impossible, but if there is a sense of commitment without fully knowing what is being committed to, tranquility may seem elusive.</w:t>
      </w:r>
    </w:p>
    <w:p>
      <w:pPr>
        <w:pStyle w:val="BodyText"/>
      </w:pPr>
      <w:r>
        <w:t xml:space="preserve">Another way that skipping stages is important is in the application of the Maturity Matching Principle. It is important to note that the fortress of well-being is most vulnerable when one partner is significantly more mature than the other, whether this is spiritually, emotionally, or developmentally. The Maturity Matching Principle helps ensure that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pPr>
        <w:pStyle w:val="BodyText"/>
      </w:pPr>
      <w:r>
        <w:t xml:space="preserve">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what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 to gain mutual consent, that of the parents, and ensure they have access to the fortress of well-being. Their relationship and marriage are supported by parents and the community until they are fully mature according to the Badí‘ calendar.</w:t>
      </w:r>
    </w:p>
    <w:p>
      <w:pPr>
        <w:pStyle w:val="BodyText"/>
      </w:pPr>
      <w:r>
        <w:t xml:space="preserve">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soul-building experiences even while having different outward labels? Navigating this carefully and intentionally should open the doors of unity without either having to compromise who they are. God is the Lord of all religions, and He is the God Who liberates all souls.</w:t>
      </w:r>
    </w:p>
    <w:p>
      <w:pPr>
        <w:pStyle w:val="BodyText"/>
      </w:pPr>
      <w:r>
        <w:t xml:space="preserve">When these stages are skipped, we also need to be aware as individuals what is an illusion and what is real as expressed in</w:t>
      </w:r>
      <w:r>
        <w:t xml:space="preserve"> </w:t>
      </w:r>
      <w:r>
        <w:rPr>
          <w:highlight w:val="yellow"/>
        </w:rPr>
        <w:t xml:space="preserve">Chapter 16,</w:t>
      </w:r>
      <w:r>
        <w:rPr>
          <w:highlight w:val="yellow"/>
        </w:rPr>
        <w:t xml:space="preserve"> </w:t>
      </w:r>
      <w:r>
        <w:rPr>
          <w:highlight w:val="yellow"/>
        </w:rPr>
        <w:t xml:space="preserve">“</w:t>
      </w:r>
      <w:r>
        <w:rPr>
          <w:highlight w:val="yellow"/>
        </w:rPr>
        <w:t xml:space="preserve">The Private Self.</w:t>
      </w:r>
      <w:r>
        <w:rPr>
          <w:highlight w:val="yellow"/>
        </w:rPr>
        <w:t xml:space="preserve">”</w:t>
      </w:r>
      <w:r>
        <w:t xml:space="preserve"> </w:t>
      </w:r>
      <w:r>
        <w:t xml:space="preserve">This is a delicate balance individuals and communities must navigate with care and consultation.</w:t>
      </w:r>
    </w:p>
    <w:p>
      <w:pPr>
        <w:pStyle w:val="BodyText"/>
      </w:pPr>
      <w:r>
        <w:rPr>
          <w:iCs/>
          <w:i/>
        </w:rPr>
        <w:t xml:space="preserve">Reflection: Where do you see impatience weakening the fortress of affection?</w:t>
      </w:r>
    </w:p>
    <w:p>
      <w:pPr>
        <w:pStyle w:val="BodyText"/>
      </w:pPr>
      <w:r>
        <w:t xml:space="preserve">To honor affection without sentimentality, we also need language for those whose paths do not follow the usual pattern.</w:t>
      </w:r>
    </w:p>
    <w:bookmarkEnd w:id="768"/>
    <w:bookmarkStart w:id="771" w:name="non-traditional-relationship-choices"/>
    <w:p>
      <w:pPr>
        <w:pStyle w:val="Heading2"/>
      </w:pPr>
      <w:r>
        <w:t xml:space="preserve">19.4 Non-Traditional Relationship Choices</w:t>
      </w:r>
    </w:p>
    <w:bookmarkStart w:id="769" w:name="celibacy"/>
    <w:p>
      <w:pPr>
        <w:pStyle w:val="Heading3"/>
      </w:pPr>
      <w:r>
        <w:t xml:space="preserve">19.4.1 Celibacy</w:t>
      </w:r>
    </w:p>
    <w:p>
      <w:pPr>
        <w:pStyle w:val="FirstParagraph"/>
      </w:pPr>
      <w:r>
        <w:t xml:space="preserve">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bookmarkEnd w:id="769"/>
    <w:bookmarkStart w:id="770" w:name="gender"/>
    <w:p>
      <w:pPr>
        <w:pStyle w:val="Heading3"/>
      </w:pPr>
      <w:r>
        <w:t xml:space="preserve">19.4.2 Gender</w:t>
      </w:r>
    </w:p>
    <w:p>
      <w:pPr>
        <w:pStyle w:val="FirstParagraph"/>
      </w:pPr>
      <w:r>
        <w:t xml:space="preserve">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that they are not the cause of discord or enmity, especially when an affectionate relationship comes to an end. Neither the Kitáb-i-Aqdas nor any teaching of the Báb and Bahá’u’lláh defines what it means to be a man or a woman. Bahá’u’lláh expands the common notions of gender in BH00158 when declaring that believing women are men. Both men and women are Knights when they have partaken of the Choice Sealed Wine.</w:t>
      </w:r>
    </w:p>
    <w:p>
      <w:pPr>
        <w:pStyle w:val="BodyText"/>
      </w:pPr>
      <w:r>
        <w:t xml:space="preserve">I am of the belief that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being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be reflected in the marriage contract itself, defining who serves in each role for the duration of the contract, which, if God wills it, stands the test of time.</w:t>
      </w:r>
    </w:p>
    <w:p>
      <w:pPr>
        <w:pStyle w:val="BodyText"/>
      </w:pPr>
      <w:r>
        <w:rPr>
          <w:iCs/>
          <w:i/>
        </w:rPr>
        <w:t xml:space="preserve">Reflection: What responsibilities do your closest bonds place upon you?</w:t>
      </w:r>
    </w:p>
    <w:p>
      <w:pPr>
        <w:pStyle w:val="BodyText"/>
      </w:pPr>
      <w:r>
        <w:t xml:space="preserve">To conclude this chapter, we can gather its stages into one measure of communal health.</w:t>
      </w:r>
    </w:p>
    <w:bookmarkEnd w:id="770"/>
    <w:bookmarkEnd w:id="771"/>
    <w:bookmarkStart w:id="772" w:name="conclusion-4"/>
    <w:p>
      <w:pPr>
        <w:pStyle w:val="Heading2"/>
      </w:pPr>
      <w:r>
        <w:t xml:space="preserve">19.5 Conclusion</w:t>
      </w:r>
    </w:p>
    <w:p>
      <w:pPr>
        <w:pStyle w:val="FirstParagraph"/>
      </w:pPr>
      <w:r>
        <w:t xml:space="preserve">Our relationships are probably the very fabric upon which we can measure the health of a community. The closer we become to someone, the more vulnerable we are. Each new stage opens up our hearts in exciting and powerful ways. Because of this, we have a reason to view ourselves as trustees to those we love, as well as to those who are vulnerable. The next chapter will discuss trusteeship, the authority gifted to us under the authority of God.</w:t>
      </w:r>
    </w:p>
    <w:p>
      <w:r>
        <w:br w:type="page"/>
      </w:r>
    </w:p>
    <w:bookmarkEnd w:id="772"/>
    <w:bookmarkEnd w:id="773"/>
    <w:bookmarkStart w:id="833" w:name="trusteeship"/>
    <w:p>
      <w:pPr>
        <w:pStyle w:val="Heading1"/>
      </w:pPr>
      <w:r>
        <w:t xml:space="preserve">20. Trusteeship</w:t>
      </w:r>
    </w:p>
    <w:p>
      <w:pPr>
        <w:pStyle w:val="FirstParagraph"/>
      </w:pPr>
      <w:r>
        <w:t xml:space="preserve">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pPr>
        <w:pStyle w:val="BodyText"/>
      </w:pPr>
      <w:r>
        <w:t xml:space="preserve">A trust is a type of custodial relationship in which a person, people, or organization are charged to care for another. It is usually considered a legal term, but Bahá’u’lláh surprisingly describes the responsibilities of trustees regularly in His revelation. A trustee is a person, organization, or legal entity who is designated to be responsible for a trust. Typically, a trustee is responsible for property or for some other contractually obligated purpose. Trusteeship is how we describe the position, function, and duties of a trustee in relationship to the trust.</w:t>
      </w:r>
    </w:p>
    <w:p>
      <w:pPr>
        <w:pStyle w:val="BodyText"/>
      </w:pPr>
      <w:r>
        <w:t xml:space="preserve">There are many kinds of trusteeships expressed in the Kitáb-i-Aqdas. Bahá’u’lláh describes trusts for orphans, widows,</w:t>
      </w:r>
      <w:r>
        <w:rPr>
          <w:rStyle w:val="FootnoteReference"/>
        </w:rPr>
        <w:footnoteReference w:id="774"/>
      </w:r>
      <w:r>
        <w:t xml:space="preserve"> </w:t>
      </w:r>
      <w:r>
        <w:t xml:space="preserve">weak descendants,</w:t>
      </w:r>
      <w:r>
        <w:rPr>
          <w:rStyle w:val="FootnoteReference"/>
        </w:rPr>
        <w:footnoteReference w:id="775"/>
      </w:r>
      <w:r>
        <w:t xml:space="preserve"> </w:t>
      </w:r>
      <w:r>
        <w:t xml:space="preserve">the destitute,</w:t>
      </w:r>
      <w:r>
        <w:rPr>
          <w:rStyle w:val="FootnoteReference"/>
        </w:rPr>
        <w:footnoteReference w:id="776"/>
      </w:r>
      <w:r>
        <w:t xml:space="preserve"> </w:t>
      </w:r>
      <w:r>
        <w:t xml:space="preserve">and the kingdom.</w:t>
      </w:r>
      <w:r>
        <w:rPr>
          <w:rStyle w:val="FootnoteReference"/>
        </w:rPr>
        <w:footnoteReference w:id="777"/>
      </w:r>
      <w:r>
        <w:t xml:space="preserve"> </w:t>
      </w:r>
      <w:r>
        <w:t xml:space="preserve">The trustees are the Houses of Justice, fathers, the wealthy, and God. To frame the rest of this chapter, let us take a look at the sacred trust of God, with God as the Trustee.</w:t>
      </w:r>
    </w:p>
    <w:bookmarkStart w:id="779" w:name="the-sacred-trust"/>
    <w:p>
      <w:pPr>
        <w:pStyle w:val="Heading2"/>
      </w:pPr>
      <w:r>
        <w:t xml:space="preserve">20.1 The Sacred Trust</w:t>
      </w:r>
    </w:p>
    <w:p>
      <w:pPr>
        <w:pStyle w:val="FirstParagraph"/>
      </w:pPr>
      <w:r>
        <w:t xml:space="preserve">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of God is a sovereignty deep within our hearts. Knowing God is sufficient to be a Helper, we can be assured of support and sustenance as we live our lives in remembrance of Him.</w:t>
      </w:r>
    </w:p>
    <w:bookmarkStart w:id="778" w:name="X83f0048505435d76cfedfd036fed9981cbb5080"/>
    <w:p>
      <w:pPr>
        <w:pStyle w:val="Heading3"/>
      </w:pPr>
      <w:r>
        <w:t xml:space="preserve">20.1.1 Witness, Trustee, and Helper Model of Trusteeship</w:t>
      </w:r>
    </w:p>
    <w:p>
      <w:pPr>
        <w:pStyle w:val="FirstParagraph"/>
      </w:pPr>
      <w:r>
        <w:t xml:space="preserve">These three roles, Witness, Trustee, and Helper, are three roles we can also serve as we align our souls with God’s Names. If we serve as witness without serving as trustee or helper, we are merely judgmental. We exalt ourselves over others and use power to subdue and illicitly gain, even if those gains are according to the rules of society. If we merely try to be a helper, but we do not witness a root cause nor understand our roles as stewards, our efforts might only be temporary or cause further harm, even if unintentional. Trusteeship requires both witnessing and helping to be fully dynamic, just as God serves as Trustee of us.</w:t>
      </w:r>
    </w:p>
    <w:p>
      <w:pPr>
        <w:pStyle w:val="BodyText"/>
      </w:pPr>
      <w:r>
        <w:t xml:space="preserve">Most of the rest of the book will be framed within the context of trusteeship, as we have moved into the realm of power and the dynamics power causes. This chapter will look at trusteeship with weak descendants, widows, the destitute, and the moral ecology we live within.</w:t>
      </w:r>
    </w:p>
    <w:p>
      <w:pPr>
        <w:pStyle w:val="BodyText"/>
      </w:pPr>
      <w:r>
        <w:rPr>
          <w:iCs/>
          <w:i/>
        </w:rPr>
        <w:t xml:space="preserve">Reflection: Where do you exercise power without naming it as trust?</w:t>
      </w:r>
    </w:p>
    <w:p>
      <w:pPr>
        <w:pStyle w:val="BodyText"/>
      </w:pPr>
      <w:r>
        <w:t xml:space="preserve">To move from theology into lived responsibility, we begin with the most immediate trust entrusted to humanity.</w:t>
      </w:r>
    </w:p>
    <w:bookmarkEnd w:id="778"/>
    <w:bookmarkEnd w:id="779"/>
    <w:bookmarkStart w:id="783" w:name="X2014ffd55d13a352e3abd83878eaaffc6eb7ade"/>
    <w:p>
      <w:pPr>
        <w:pStyle w:val="Heading2"/>
      </w:pPr>
      <w:r>
        <w:t xml:space="preserve">20.2 Weak Descendants as Trust, Parents as Trustees</w:t>
      </w:r>
    </w:p>
    <w:p>
      <w:pPr>
        <w:pStyle w:val="FirstParagraph"/>
      </w:pPr>
      <w:r>
        <w:t xml:space="preserve">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pPr>
        <w:pStyle w:val="BodyText"/>
      </w:pPr>
      <w:r>
        <w:t xml:space="preserve">Every father is enjoined to educate his sons and daughters in learning and writing, and also in what has been prescribed.</w:t>
      </w:r>
      <w:r>
        <w:rPr>
          <w:rStyle w:val="FootnoteReference"/>
        </w:rPr>
        <w:footnoteReference w:id="780"/>
      </w:r>
      <w:r>
        <w:t xml:space="preserve"> </w:t>
      </w:r>
      <w:r>
        <w:t xml:space="preserve">This includes the teachings of Bahá’u’lláh and other subjects, such as sciences which profit mankind and the ability to recite the verses in the Mashriqu’l-Adhkár in the best of melodies. Bahá’u’lláh says any father who fulfills this duty for his children or even other children is the same as educating one of Bahá’u’lláh’s children. It is an honor. If the father fails to educate his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781"/>
      </w:r>
    </w:p>
    <w:p>
      <w:pPr>
        <w:pStyle w:val="BodyText"/>
      </w:pPr>
      <w:r>
        <w:t xml:space="preserve">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inheritance, worship, and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782"/>
      </w:r>
    </w:p>
    <w:p>
      <w:pPr>
        <w:pStyle w:val="BodyText"/>
      </w:pPr>
      <w:r>
        <w:t xml:space="preserve">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it is reflected will be unique as a child’s iris. Their right to identity includes their ability to shape this identity through these Names, which all lead back to One.</w:t>
      </w:r>
    </w:p>
    <w:p>
      <w:pPr>
        <w:pStyle w:val="BodyText"/>
      </w:pPr>
      <w:r>
        <w:t xml:space="preserve">In fulfilling this trust, how does acting as a witness and helper help the parents? To a young child, a parent already seems so powerful and capable. The parent has full dominion. Nevertheless, a parent is never the child’s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that nobility.</w:t>
      </w:r>
    </w:p>
    <w:p>
      <w:pPr>
        <w:pStyle w:val="BodyText"/>
      </w:pPr>
      <w:r>
        <w:t xml:space="preserve">The framework of spiritual, educational, and full maturity at ages 11, 15, and 19 offers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of identity, we can begin to witness. Age 15 is governed by the name Masá’il, where questions awaken our understanding. These answers allow us to take what we witness, and feel a sense of responsibility for what is true. This is the spiritual station of trustee. By age 19, we are governed by the name</w:t>
      </w:r>
      <w:r>
        <w:t xml:space="preserve"> </w:t>
      </w:r>
      <w:r>
        <w:t xml:space="preserve">‘</w:t>
      </w:r>
      <w:r>
        <w:t xml:space="preserve">Alá</w:t>
      </w:r>
      <w:r>
        <w:t xml:space="preserve">’</w:t>
      </w:r>
      <w:r>
        <w:t xml:space="preserve">. This loftiness is about fulfillment of trust and unity. To fulfill a trusteeship, one must be willing to serve as the helper of the trust. This is the highest spiritual station, that of servitude.</w:t>
      </w:r>
    </w:p>
    <w:p>
      <w:pPr>
        <w:pStyle w:val="BodyText"/>
      </w:pPr>
      <w:r>
        <w:t xml:space="preserve">If the child, for some reason, is unable to become mature and independent due to unplanned circumstances, these responsibilities of the parents never end.</w:t>
      </w:r>
    </w:p>
    <w:p>
      <w:pPr>
        <w:pStyle w:val="BodyText"/>
      </w:pPr>
      <w:r>
        <w:rPr>
          <w:iCs/>
          <w:i/>
        </w:rPr>
        <w:t xml:space="preserve">Reflection: How does stewardship reshape what it means to be a parent?</w:t>
      </w:r>
    </w:p>
    <w:p>
      <w:pPr>
        <w:pStyle w:val="BodyText"/>
      </w:pPr>
      <w:r>
        <w:t xml:space="preserve">When parents are absent, trusteeship becomes a communal duty rather than a private one.</w:t>
      </w:r>
    </w:p>
    <w:bookmarkEnd w:id="783"/>
    <w:bookmarkStart w:id="786" w:name="Xf8de0add232e7bff90bdcf75f477fbf32f9d7e9"/>
    <w:p>
      <w:pPr>
        <w:pStyle w:val="Heading2"/>
      </w:pPr>
      <w:r>
        <w:t xml:space="preserve">20.3 Orphans as Trust, Houses of Justice as Trustee</w:t>
      </w:r>
    </w:p>
    <w:p>
      <w:pPr>
        <w:pStyle w:val="FirstParagraph"/>
      </w:pPr>
      <w:r>
        <w:t xml:space="preserve">Sometimes a child loses both parents. Throughout history, this has caused undue hardship for children. Bahá’u’lláh laments this in the Lawḥ-i-Sulṭán, describing how the rulings of Náṣiri’d-Dín Sháh Qájár caused new orphans to be made. The Kitáb-i-Aqdas designates the Trustees of the Houses of Justice to be entrusted with the care of orphans.</w:t>
      </w:r>
      <w:r>
        <w:rPr>
          <w:rStyle w:val="FootnoteReference"/>
        </w:rPr>
        <w:footnoteReference w:id="784"/>
      </w:r>
      <w:r>
        <w:t xml:space="preserve"> </w:t>
      </w:r>
      <w:r>
        <w:t xml:space="preserve">The funds are to be derived from any inheritance which is supposed to go to descendants when there are no dependents. This money is also to be used for widows and the general benefit of others.</w:t>
      </w:r>
    </w:p>
    <w:p>
      <w:pPr>
        <w:pStyle w:val="BodyText"/>
      </w:pPr>
      <w:r>
        <w:t xml:space="preserve">Bahá’u’lláh served as the trustee for orphans in His lifetime. For example, He provided fifty tumens for the orphans of Ḥájí ’Alí Qarabághí.</w:t>
      </w:r>
      <w:r>
        <w:rPr>
          <w:rStyle w:val="FootnoteReference"/>
        </w:rPr>
        <w:footnoteReference w:id="785"/>
      </w:r>
      <w:r>
        <w:t xml:space="preserve"> </w:t>
      </w:r>
      <w:r>
        <w:t xml:space="preserve">While orphans are being cared for in trust by the Houses of Justice, it would also be good if a person chose to adopt an orphaned child. As Bahá’u’lláh described the honor it is for a father to educate a child that is not his own, imagine the glory in raising a child as if it were Bahá’u’lláh’s? Orphans have a right to be taken care of. Their rights are not lost when their parents are lost.</w:t>
      </w:r>
    </w:p>
    <w:p>
      <w:pPr>
        <w:pStyle w:val="BodyText"/>
      </w:pPr>
      <w:r>
        <w:rPr>
          <w:iCs/>
          <w:i/>
        </w:rPr>
        <w:t xml:space="preserve">Reflection: Who becomes responsible when belonging is lost?</w:t>
      </w:r>
    </w:p>
    <w:p>
      <w:pPr>
        <w:pStyle w:val="BodyText"/>
      </w:pPr>
      <w:r>
        <w:t xml:space="preserve">From orphanhood, trusteeship turns toward the intimacy of marriage, where care must remain free of possession.</w:t>
      </w:r>
    </w:p>
    <w:bookmarkEnd w:id="786"/>
    <w:bookmarkStart w:id="787" w:name="spouse-as-trust-spouse-as-trustee"/>
    <w:p>
      <w:pPr>
        <w:pStyle w:val="Heading2"/>
      </w:pPr>
      <w:r>
        <w:t xml:space="preserve">20.4 Spouse as Trust, Spouse as Trustee</w:t>
      </w:r>
    </w:p>
    <w:p>
      <w:pPr>
        <w:pStyle w:val="FirstParagraph"/>
      </w:pPr>
      <w:r>
        <w:t xml:space="preserve">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pPr>
        <w:pStyle w:val="BodyText"/>
      </w:pPr>
      <w:r>
        <w:t xml:space="preserve">When we consider the Maturity Matching principle, we can also imagine an elderly, but wealthy, person marrying a recent graduate with considerable student debt. The Maturity Matching principle naturally prevents such arrangements where each spouse merely sees the other as an object of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them as necessary until the spouses themselves have gained full maturity. When done according to Bahá’u’lláh’s teachings, this is a double layer of protection and support, enhancing each young person’s liberation.</w:t>
      </w:r>
    </w:p>
    <w:p>
      <w:pPr>
        <w:pStyle w:val="BodyText"/>
      </w:pPr>
      <w:r>
        <w:t xml:space="preserve">I also would like to point out the Maturity Matching principle would also protect an elderly person from being exploited by a significantly younger adult, say for access to potential wealth. In this type of situation or any, we must always see how each spouse can truly serve as the trustee of each other.</w:t>
      </w:r>
    </w:p>
    <w:p>
      <w:pPr>
        <w:pStyle w:val="BodyText"/>
      </w:pPr>
      <w:r>
        <w:rPr>
          <w:iCs/>
          <w:i/>
        </w:rPr>
        <w:t xml:space="preserve">Reflection: How does love change when ownership is replaced with trust?</w:t>
      </w:r>
    </w:p>
    <w:p>
      <w:pPr>
        <w:pStyle w:val="BodyText"/>
      </w:pPr>
      <w:r>
        <w:t xml:space="preserve">As children rise into maturity, trusteeship reverses direction and becomes a duty toward those who raised them.</w:t>
      </w:r>
    </w:p>
    <w:bookmarkEnd w:id="787"/>
    <w:bookmarkStart w:id="793" w:name="Xc6279f68a755189a4cd03cbb938d575bd55ea71"/>
    <w:p>
      <w:pPr>
        <w:pStyle w:val="Heading2"/>
      </w:pPr>
      <w:r>
        <w:t xml:space="preserve">20.5 Aging Parents as Trust, Mature Children as Trustee</w:t>
      </w:r>
    </w:p>
    <w:p>
      <w:pPr>
        <w:pStyle w:val="FirstParagraph"/>
      </w:pPr>
      <w:r>
        <w:t xml:space="preserve">For parents who have not forfeited their rights as parents due to neglect of their children, Bahá’u’lláh says the second greatest fruit is regard for the rights of one’s parents.</w:t>
      </w:r>
      <w:r>
        <w:rPr>
          <w:rStyle w:val="FootnoteReference"/>
        </w:rPr>
        <w:footnoteReference w:id="788"/>
      </w:r>
      <w:r>
        <w:t xml:space="preserve"> </w:t>
      </w:r>
      <w:r>
        <w:t xml:space="preserve">The Báb says we are to provide for our parents if they are not self-sufficient</w:t>
      </w:r>
      <w:r>
        <w:rPr>
          <w:rStyle w:val="FootnoteReference"/>
        </w:rPr>
        <w:footnoteReference w:id="789"/>
      </w:r>
      <w:r>
        <w:t xml:space="preserve"> </w:t>
      </w:r>
      <w:r>
        <w:t xml:space="preserve">once we have reached maturity at age 19.</w:t>
      </w:r>
    </w:p>
    <w:p>
      <w:pPr>
        <w:pStyle w:val="BodyText"/>
      </w:pPr>
      <w:r>
        <w:t xml:space="preserve">This helps establish a lifelong bond of mutual assistance between parents and children. All mature people are obligated to earn a living if they are able to, so this would mostly be assistance as parents age or as random circumstances of life impact their ability to earn, even if temporarily. The parents are a trust, with mature children serving as trustee.</w:t>
      </w:r>
    </w:p>
    <w:p>
      <w:pPr>
        <w:pStyle w:val="BodyText"/>
      </w:pPr>
      <w:r>
        <w:t xml:space="preserve">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790"/>
      </w:r>
      <w:r>
        <w:t xml:space="preserve"> </w:t>
      </w:r>
      <w:r>
        <w:t xml:space="preserve">If an adult has lost mental capacity but does not have mature children, the authority over their possessions, if not clearly defined by a legal contract, would be entrusted to the Houses of Justice.</w:t>
      </w:r>
    </w:p>
    <w:p>
      <w:pPr>
        <w:pStyle w:val="BodyText"/>
      </w:pPr>
      <w:r>
        <w:t xml:space="preserve">In regards to aging, there are some rights and responsibilities associated with decaying health and the potential of dying. We had priorly established the right to skilled physicians. If there is illness, seek a physician.</w:t>
      </w:r>
      <w:r>
        <w:rPr>
          <w:rStyle w:val="FootnoteReference"/>
        </w:rPr>
        <w:footnoteReference w:id="791"/>
      </w:r>
      <w:r>
        <w:t xml:space="preserve"> </w:t>
      </w:r>
      <w:r>
        <w:t xml:space="preserve">Bahá’u’lláh uses a candle as an instructive metaphor. He says</w:t>
      </w:r>
      <w:r>
        <w:t xml:space="preserve"> </w:t>
      </w:r>
      <w:r>
        <w:t xml:space="preserve">“</w:t>
      </w:r>
      <w:r>
        <w:t xml:space="preserve">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w:t>
      </w:r>
      <w:r>
        <w:t xml:space="preserve">”</w:t>
      </w:r>
      <w:r>
        <w:t xml:space="preserve"> </w:t>
      </w:r>
      <w:r>
        <w:t xml:space="preserve">He also says the preservation of human life is greater than any other matter.</w:t>
      </w:r>
      <w:r>
        <w:rPr>
          <w:rStyle w:val="FootnoteReference"/>
        </w:rPr>
        <w:footnoteReference w:id="792"/>
      </w:r>
    </w:p>
    <w:p>
      <w:pPr>
        <w:pStyle w:val="BodyText"/>
      </w:pPr>
      <w:r>
        <w:t xml:space="preserve">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pPr>
        <w:pStyle w:val="BodyText"/>
      </w:pPr>
      <w:r>
        <w:rPr>
          <w:iCs/>
          <w:i/>
        </w:rPr>
        <w:t xml:space="preserve">Reflection: When does care require letting go rather than control?</w:t>
      </w:r>
    </w:p>
    <w:p>
      <w:pPr>
        <w:pStyle w:val="BodyText"/>
      </w:pPr>
      <w:r>
        <w:t xml:space="preserve">From family trusteeship, we widen outward to communal care for those whose vulnerability is intensified by loss.</w:t>
      </w:r>
    </w:p>
    <w:bookmarkEnd w:id="793"/>
    <w:bookmarkStart w:id="794" w:name="X9ce851d61f96bc85d102fb06db971112eba21a2"/>
    <w:p>
      <w:pPr>
        <w:pStyle w:val="Heading2"/>
      </w:pPr>
      <w:r>
        <w:t xml:space="preserve">20.6 Widows as Trust, Houses of Justice as Trustee</w:t>
      </w:r>
    </w:p>
    <w:p>
      <w:pPr>
        <w:pStyle w:val="FirstParagraph"/>
      </w:pPr>
      <w:r>
        <w:t xml:space="preserve">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in her life without losing any rights she had before and during her marriage, her care is entrusted to the Houses of Justice.</w:t>
      </w:r>
    </w:p>
    <w:p>
      <w:pPr>
        <w:pStyle w:val="BodyText"/>
      </w:pPr>
      <w:r>
        <w:t xml:space="preserve">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that she receives what is due to her from inheritance. If she is economically or socially vulnerable, it should be acknowledged without stripping her of her agency.</w:t>
      </w:r>
    </w:p>
    <w:p>
      <w:pPr>
        <w:pStyle w:val="BodyText"/>
      </w:pPr>
      <w:r>
        <w:t xml:space="preserve">As trustee, the Houses are stewards of fairness. They do not act as decision-makers for her.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need not be limited to money. These resources could be access to a grief counselor, support groups, protection from social pressures, and introductions to new opportunities. The process of witness, trustee, and helper is an extremely simple yet thorough model for exercising power as an act of service.</w:t>
      </w:r>
    </w:p>
    <w:p>
      <w:pPr>
        <w:pStyle w:val="BodyText"/>
      </w:pPr>
      <w:r>
        <w:rPr>
          <w:iCs/>
          <w:i/>
        </w:rPr>
        <w:t xml:space="preserve">Reflection: What does protective care look like without intrusion?</w:t>
      </w:r>
    </w:p>
    <w:p>
      <w:pPr>
        <w:pStyle w:val="BodyText"/>
      </w:pPr>
      <w:r>
        <w:t xml:space="preserve">When poverty enters, trusteeship must confront provision as a right rather than charity as a preference.</w:t>
      </w:r>
    </w:p>
    <w:bookmarkEnd w:id="794"/>
    <w:bookmarkStart w:id="796" w:name="Xd5a6a7398592489a796048154bded6bf10091c5"/>
    <w:p>
      <w:pPr>
        <w:pStyle w:val="Heading2"/>
      </w:pPr>
      <w:r>
        <w:t xml:space="preserve">20.7 The Destitute as Trust, The Wealthy as Trustee</w:t>
      </w:r>
    </w:p>
    <w:p>
      <w:pPr>
        <w:pStyle w:val="FirstParagraph"/>
      </w:pPr>
      <w:r>
        <w:t xml:space="preserve">In Chapter 18, we described the prohibition on begging. We also have a responsibility to never give to beggars, no matter what is desperately being asked for. This seems contrary to generosity, but we have outlined such responsibilities as Ḥuqúqu’lláh and Zakát. The goal is to create a community where no person would need to beg. No person deserves to be destitute nor desperate. Every person has a right to provision.</w:t>
      </w:r>
    </w:p>
    <w:p>
      <w:pPr>
        <w:pStyle w:val="BodyText"/>
      </w:pPr>
      <w:r>
        <w:t xml:space="preserve">There are two trustees of the destitute. The first are the Houses of Justice.</w:t>
      </w:r>
      <w:r>
        <w:rPr>
          <w:rStyle w:val="FootnoteReference"/>
        </w:rPr>
        <w:footnoteReference w:id="795"/>
      </w:r>
      <w:r>
        <w:t xml:space="preserve"> </w:t>
      </w:r>
      <w:r>
        <w:t xml:space="preserve">The second are the wealthy. Each are to provide what is necessary. The Houses of Justice can consult on what is necessary, but it could fall within the right of provision from Chapter 14. A wealthy individual could also make this determination, according to how generous their spirit is.</w:t>
      </w:r>
    </w:p>
    <w:p>
      <w:pPr>
        <w:pStyle w:val="BodyText"/>
      </w:pPr>
      <w:r>
        <w:t xml:space="preserve">Who is wealthy? I would define the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pPr>
        <w:pStyle w:val="BodyText"/>
      </w:pPr>
      <w:r>
        <w:t xml:space="preserve">As a potential conflict of interest, a community might want to consider limiting how many wealthy people serve on Houses of Justice. Trusts struggle with ethical issues when there are conflicts of interest.</w:t>
      </w:r>
    </w:p>
    <w:p>
      <w:pPr>
        <w:pStyle w:val="BodyText"/>
      </w:pPr>
      <w:r>
        <w:rPr>
          <w:iCs/>
          <w:i/>
        </w:rPr>
        <w:t xml:space="preserve">Reflection: How do you measure provision as justice rather than generosity?</w:t>
      </w:r>
    </w:p>
    <w:p>
      <w:pPr>
        <w:pStyle w:val="BodyText"/>
      </w:pPr>
      <w:r>
        <w:t xml:space="preserve">Trusteeship also reaches beyond human relationships into the environment that sustains every soul.</w:t>
      </w:r>
    </w:p>
    <w:bookmarkEnd w:id="796"/>
    <w:bookmarkStart w:id="811" w:name="Xcd91c6e1359e301487b245997944803ed2067d8"/>
    <w:p>
      <w:pPr>
        <w:pStyle w:val="Heading2"/>
      </w:pPr>
      <w:r>
        <w:t xml:space="preserve">20.8 Animals and the Earth as Trust, Believers as Trustee</w:t>
      </w:r>
    </w:p>
    <w:p>
      <w:pPr>
        <w:pStyle w:val="FirstParagraph"/>
      </w:pPr>
      <w:r>
        <w:t xml:space="preserve">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pPr>
        <w:pStyle w:val="BodyText"/>
      </w:pPr>
      <w:r>
        <w:t xml:space="preserve">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797"/>
      </w:r>
      <w:r>
        <w:t xml:space="preserve"> </w:t>
      </w:r>
      <w:r>
        <w:t xml:space="preserve">The water is created pure, just as we are. Yet, when God discusses our purity with lewdness and oppression, He says</w:t>
      </w:r>
      <w:r>
        <w:t xml:space="preserve"> </w:t>
      </w:r>
      <w:r>
        <w:t xml:space="preserve">“</w:t>
      </w:r>
      <w:r>
        <w:t xml:space="preserve">beware that you do not corrupt the Earth after it has been reformed.</w:t>
      </w:r>
      <w:r>
        <w:t xml:space="preserve">”</w:t>
      </w:r>
      <w:r>
        <w:rPr>
          <w:rStyle w:val="FootnoteReference"/>
        </w:rPr>
        <w:footnoteReference w:id="798"/>
      </w:r>
      <w:r>
        <w:t xml:space="preserve"> </w:t>
      </w:r>
      <w:r>
        <w:t xml:space="preserve">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799"/>
      </w:r>
      <w:r>
        <w:t xml:space="preserve"> </w:t>
      </w:r>
      <w:r>
        <w:t xml:space="preserve">and they are integrated within the Bayánic Calendar.</w:t>
      </w:r>
      <w:r>
        <w:rPr>
          <w:rStyle w:val="FootnoteReference"/>
        </w:rPr>
        <w:footnoteReference w:id="800"/>
      </w:r>
    </w:p>
    <w:p>
      <w:pPr>
        <w:pStyle w:val="BodyText"/>
      </w:pPr>
      <w:r>
        <w:t xml:space="preserve">Creation is where we recognize the names of God and develop our virtues. A corrupted Earth would greatly increase the difficulty of achieving this spiritual progress. Thus, we have a moral ecology in which we operate.</w:t>
      </w:r>
    </w:p>
    <w:bookmarkStart w:id="807" w:name="moral-ecology"/>
    <w:p>
      <w:pPr>
        <w:pStyle w:val="Heading3"/>
      </w:pPr>
      <w:r>
        <w:t xml:space="preserve">20.8.1 Moral Ecology</w:t>
      </w:r>
    </w:p>
    <w:p>
      <w:pPr>
        <w:pStyle w:val="FirstParagraph"/>
      </w:pPr>
      <w:r>
        <w:t xml:space="preserve">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integrated. The environment shapes our morals, and our morals help shape the environment. Neither can actually ever be divorced from the other.</w:t>
      </w:r>
    </w:p>
    <w:p>
      <w:pPr>
        <w:pStyle w:val="BodyText"/>
      </w:pPr>
      <w:r>
        <w:t xml:space="preserve">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w:t>
      </w:r>
      <w:r>
        <w:t xml:space="preserve"> </w:t>
      </w:r>
      <w:r>
        <w:t xml:space="preserve">“</w:t>
      </w:r>
      <w:r>
        <w:t xml:space="preserve">Every stone and tree has cried out with the loudest voice, Bethlehem has been moved by the breath of God, and the trembling of reunion has seized Mount Sinai.</w:t>
      </w:r>
      <w:r>
        <w:t xml:space="preserve">”</w:t>
      </w:r>
      <w:r>
        <w:rPr>
          <w:rStyle w:val="FootnoteReference"/>
        </w:rPr>
        <w:footnoteReference w:id="801"/>
      </w:r>
      <w:r>
        <w:t xml:space="preserve"> </w:t>
      </w:r>
      <w:r>
        <w:t xml:space="preserve">The Land of Ṭihrán is instructed not to grieve the injustice perpetuated upon it.</w:t>
      </w:r>
      <w:r>
        <w:rPr>
          <w:rStyle w:val="FootnoteReference"/>
        </w:rPr>
        <w:footnoteReference w:id="802"/>
      </w:r>
      <w:r>
        <w:t xml:space="preserve"> </w:t>
      </w:r>
      <w:r>
        <w:t xml:space="preserve">The Land of Bá rejoiced when Bahá’u’lláh arrived after being released from the land of prison, while the land of prison became saddened.</w:t>
      </w:r>
      <w:r>
        <w:rPr>
          <w:rStyle w:val="FootnoteReference"/>
        </w:rPr>
        <w:footnoteReference w:id="803"/>
      </w:r>
      <w:r>
        <w:t xml:space="preserve"> </w:t>
      </w:r>
      <w:r>
        <w:t xml:space="preserve">Flowers, fruits, trees, leaves, and rivers are pleasing examples of divine power and craftsmanship in honor of the passing of a believer.</w:t>
      </w:r>
      <w:r>
        <w:rPr>
          <w:rStyle w:val="FootnoteReference"/>
        </w:rPr>
        <w:footnoteReference w:id="804"/>
      </w:r>
      <w:r>
        <w:t xml:space="preserve"> </w:t>
      </w:r>
      <w:r>
        <w:t xml:space="preserve">In the same tablet, He says the trees, stones, clay, and pebbles serve as witnesses.</w:t>
      </w:r>
    </w:p>
    <w:p>
      <w:pPr>
        <w:pStyle w:val="BodyText"/>
      </w:pPr>
      <w:r>
        <w:t xml:space="preserve">Every instance in which we observe Bahá’u’lláh’s metaphors and descriptions of the earthly creation, maybe we should also consider the idea that Bahá’u’lláh is describing that which is real in metaphorical ways. When He says</w:t>
      </w:r>
      <w:r>
        <w:t xml:space="preserve"> </w:t>
      </w:r>
      <w:r>
        <w:t xml:space="preserve">“</w:t>
      </w:r>
      <w:r>
        <w:t xml:space="preserve">plant nothing in the garden of the heart except the flower of love,</w:t>
      </w:r>
      <w:r>
        <w:t xml:space="preserve">”</w:t>
      </w:r>
      <w:r>
        <w:rPr>
          <w:rStyle w:val="FootnoteReference"/>
        </w:rPr>
        <w:footnoteReference w:id="805"/>
      </w:r>
      <w:r>
        <w:t xml:space="preserve"> </w:t>
      </w:r>
      <w:r>
        <w:t xml:space="preserve">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that we should sometimes plant flowers out of love for the garden itself. Why not both? The flower we plant may inspire love in a person who witnesses it, whether the garden is in our heart or made from the Earth we were created from, and the Earth we will return to.</w:t>
      </w:r>
    </w:p>
    <w:p>
      <w:pPr>
        <w:pStyle w:val="BodyText"/>
      </w:pPr>
      <w:r>
        <w:t xml:space="preserve">Trusteeship within moral ecology would be to view the ecology of the Earth, its minerals, its air, its water, and its living things as an integral part of who we are. We witness it, we preside over it as trustees instead of as masters, and we serve to help it thrive. When we are instructed to build up the lands and cities, this is definitely not an act of destruction. It is an act of construction, but in a way which is reverent to the idea that the Earth is sacred, our provision for ourselves and future generations must be provided, and we are not the only things on Earth which have feelings and spiritual journeys.</w:t>
      </w:r>
    </w:p>
    <w:p>
      <w:pPr>
        <w:pStyle w:val="BodyText"/>
      </w:pPr>
      <w:r>
        <w:t xml:space="preserve">Imagine when the next future Manifestation of God appears hundreds of years from now. Will He witness an Earth and people who are more purified than when Bahá’u’lláh lived among us?</w:t>
      </w:r>
    </w:p>
    <w:p>
      <w:pPr>
        <w:pStyle w:val="BodyText"/>
      </w:pPr>
      <w:r>
        <w:t xml:space="preserve">The Báb even included a prohibition on buying or selling the four elements of fire, air, water, and earth.</w:t>
      </w:r>
      <w:r>
        <w:rPr>
          <w:rStyle w:val="FootnoteReference"/>
        </w:rPr>
        <w:footnoteReference w:id="806"/>
      </w:r>
      <w:r>
        <w:t xml:space="preserve"> </w:t>
      </w:r>
      <w:r>
        <w:t xml:space="preserve">I do not see this prohibition continued by Bahá’u’lláh, nor do I see Bahá’u’lláh expressing permission for it. In consideration of what the Báb intended, how might we adapt our economies to be mindful of how we use those four purifying elements in commerce? I personally witness how water is extracted from aquifers which cannot be replenished, bottled in plastic, and then the plastic is thrown back into surface water. The profit margins of bottled water bring large, multinational corporations significant profits, yet this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bookmarkEnd w:id="807"/>
    <w:bookmarkStart w:id="810" w:name="animals"/>
    <w:p>
      <w:pPr>
        <w:pStyle w:val="Heading3"/>
      </w:pPr>
      <w:r>
        <w:t xml:space="preserve">20.8.2 Animals</w:t>
      </w:r>
    </w:p>
    <w:p>
      <w:pPr>
        <w:pStyle w:val="FirstParagraph"/>
      </w:pPr>
      <w:r>
        <w:t xml:space="preserve">Bahá’u’lláh does tell us not to load an animal with more than it can bear.</w:t>
      </w:r>
      <w:r>
        <w:rPr>
          <w:rStyle w:val="FootnoteReference"/>
        </w:rPr>
        <w:footnoteReference w:id="808"/>
      </w:r>
      <w:r>
        <w:t xml:space="preserve"> </w:t>
      </w:r>
      <w:r>
        <w:t xml:space="preserve">He associates justice and fairness with relations between the heavens and Earth. Loading an animal would explicitly mean examples such as ensuring a pack animal is not carrying excessive weight for an excessive duration. This also implies that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pPr>
        <w:pStyle w:val="BodyText"/>
      </w:pPr>
      <w:r>
        <w:t xml:space="preserve">Bahá’u’lláh also says we should not be excessive in hunting</w:t>
      </w:r>
      <w:r>
        <w:rPr>
          <w:rStyle w:val="FootnoteReference"/>
        </w:rPr>
        <w:footnoteReference w:id="809"/>
      </w:r>
      <w:r>
        <w:t xml:space="preserve"> </w:t>
      </w:r>
      <w:r>
        <w:t xml:space="preserve">for prey. Again, this is an act of provision without excess. This again is associated with justice and fairness. If animals are used to hunt, the names of God should be mentioned. If we are taking life for provision, it comes with a spiritual act of reverence towards that which is lost, that which was provided by God.</w:t>
      </w:r>
    </w:p>
    <w:p>
      <w:pPr>
        <w:pStyle w:val="BodyText"/>
      </w:pPr>
      <w:r>
        <w:t xml:space="preserve">Should we hunt for sport and entertainment? If so, how does this reflect the names of God? Should we kill anything which attempts to eat our food sources? Should we use pesticides to spray yards, gardens, and fields, and kill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pPr>
        <w:pStyle w:val="BodyText"/>
      </w:pPr>
      <w:r>
        <w:t xml:space="preserve">In considering the witness, trustee, and helper model, we can be guided by the virtues of moderation, courtesy, and thankfulness. These can ensure that for anything we take, we are willing to give back something equal to it or more than what we have taken from it.</w:t>
      </w:r>
    </w:p>
    <w:p>
      <w:pPr>
        <w:pStyle w:val="BodyText"/>
      </w:pPr>
      <w:r>
        <w:rPr>
          <w:iCs/>
          <w:i/>
        </w:rPr>
        <w:t xml:space="preserve">Reflection: What changes when the Earth is treated as sacred trust rather than usable property?</w:t>
      </w:r>
    </w:p>
    <w:p>
      <w:pPr>
        <w:pStyle w:val="BodyText"/>
      </w:pPr>
      <w:r>
        <w:t xml:space="preserve">From ecology we return to law, because trusteeship also governs how a soul orders its affairs before death.</w:t>
      </w:r>
    </w:p>
    <w:bookmarkEnd w:id="810"/>
    <w:bookmarkEnd w:id="811"/>
    <w:bookmarkStart w:id="831" w:name="Xa4ea2bd8518f5922d64401ec4a5c3c77811bb94"/>
    <w:p>
      <w:pPr>
        <w:pStyle w:val="Heading2"/>
      </w:pPr>
      <w:r>
        <w:t xml:space="preserve">20.9 Wills and Testaments, Houses of Justice as Trustees</w:t>
      </w:r>
    </w:p>
    <w:p>
      <w:pPr>
        <w:pStyle w:val="FirstParagraph"/>
      </w:pPr>
      <w:r>
        <w:t xml:space="preserve">Every soul has been ordained to write a will.</w:t>
      </w:r>
      <w:r>
        <w:rPr>
          <w:rStyle w:val="FootnoteReference"/>
        </w:rPr>
        <w:footnoteReference w:id="812"/>
      </w:r>
      <w:r>
        <w:t xml:space="preserve"> </w:t>
      </w:r>
      <w:r>
        <w:t xml:space="preserve">The will must have certain features:</w:t>
      </w:r>
    </w:p>
    <w:p>
      <w:pPr>
        <w:numPr>
          <w:ilvl w:val="0"/>
          <w:numId w:val="1006"/>
        </w:numPr>
        <w:pStyle w:val="Compact"/>
      </w:pPr>
      <w:r>
        <w:t xml:space="preserve">A heading with the Greatest Name,</w:t>
      </w:r>
    </w:p>
    <w:p>
      <w:pPr>
        <w:numPr>
          <w:ilvl w:val="0"/>
          <w:numId w:val="1006"/>
        </w:numPr>
        <w:pStyle w:val="Compact"/>
      </w:pPr>
      <w:r>
        <w:t xml:space="preserve">A declaration of the oneness of God in the Manifestation of His appearance,</w:t>
      </w:r>
    </w:p>
    <w:p>
      <w:pPr>
        <w:numPr>
          <w:ilvl w:val="0"/>
          <w:numId w:val="1006"/>
        </w:numPr>
        <w:pStyle w:val="Compact"/>
      </w:pPr>
      <w:r>
        <w:t xml:space="preserve">The good deeds they wish to be remembered for,</w:t>
      </w:r>
    </w:p>
    <w:p>
      <w:pPr>
        <w:numPr>
          <w:ilvl w:val="0"/>
          <w:numId w:val="1006"/>
        </w:numPr>
        <w:pStyle w:val="Compact"/>
      </w:pPr>
      <w:r>
        <w:t xml:space="preserve">How they wish to be buried, and</w:t>
      </w:r>
    </w:p>
    <w:p>
      <w:pPr>
        <w:numPr>
          <w:ilvl w:val="0"/>
          <w:numId w:val="1006"/>
        </w:numPr>
        <w:pStyle w:val="Compact"/>
      </w:pPr>
      <w:r>
        <w:t xml:space="preserve">The distribution of inheritance according to their wishes.</w:t>
      </w:r>
    </w:p>
    <w:p>
      <w:pPr>
        <w:pStyle w:val="FirstParagraph"/>
      </w:pPr>
      <w:r>
        <w:t xml:space="preserve">A will and testament is a legal contract, to be executed upon the death of a person, who is known as the testator. They entrust the Houses of Justice to act as the trustee of the contract, also known as the executor of the will. A testator can designate another person to execute it, but the Houses of Justice still have the final responsibility to ensure the contract is fulfilled. If a will is not made prior to a person’s death, then the local House of Justice will act according to the Kitáb-i-Aqdas and a few amendments to the law afterwards.</w:t>
      </w:r>
    </w:p>
    <w:p>
      <w:pPr>
        <w:pStyle w:val="BodyText"/>
      </w:pPr>
      <w:r>
        <w:t xml:space="preserve">When distributing the estate, there is an order of priorities. The funeral expenses are to be paid first, then any outstanding debts. If any money remains, then comes the payment of Ḥuqúqu’lláh for any portions of wealth on which Ḥuqúqu’lláh was not paid. If there is any money after Ḥuqúqu’lláh, then the estate will be distributed as inheritance.</w:t>
      </w:r>
      <w:r>
        <w:rPr>
          <w:rStyle w:val="FootnoteReference"/>
        </w:rPr>
        <w:footnoteReference w:id="813"/>
      </w:r>
    </w:p>
    <w:bookmarkStart w:id="815" w:name="inheritance-without-a-will"/>
    <w:p>
      <w:pPr>
        <w:pStyle w:val="Heading3"/>
      </w:pPr>
      <w:r>
        <w:t xml:space="preserve">20.9.1 Inheritance Without a Will</w:t>
      </w:r>
    </w:p>
    <w:p>
      <w:pPr>
        <w:pStyle w:val="FirstParagraph"/>
      </w:pPr>
      <w:r>
        <w:t xml:space="preserve">The Arabic Bayán introduces the inheritance distribution with 2520 shares divided between seven categories of inheritors.</w:t>
      </w:r>
      <w:r>
        <w:rPr>
          <w:rStyle w:val="FootnoteReference"/>
        </w:rPr>
        <w:footnoteReference w:id="814"/>
      </w:r>
      <w:r>
        <w:t xml:space="preserve"> </w:t>
      </w:r>
      <w:r>
        <w:t xml:space="preserve">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pPr>
        <w:pStyle w:val="BodyText"/>
      </w:pPr>
      <w:r>
        <w:t xml:space="preserve">Split from the Letter Z (Number 7)</w:t>
      </w:r>
    </w:p>
    <w:p>
      <w:pPr>
        <w:numPr>
          <w:ilvl w:val="0"/>
          <w:numId w:val="1007"/>
        </w:numPr>
        <w:pStyle w:val="Compact"/>
      </w:pPr>
      <w:r>
        <w:t xml:space="preserve">Descendants, Book Ṭ (9) according to number of M, Q, T,</w:t>
      </w:r>
      <w:r>
        <w:t xml:space="preserve"> </w:t>
      </w:r>
      <w:r>
        <w:rPr>
          <w:strike/>
        </w:rPr>
        <w:t xml:space="preserve">540</w:t>
      </w:r>
      <w:r>
        <w:t xml:space="preserve"> </w:t>
      </w:r>
      <w:r>
        <w:t xml:space="preserve">+ 540 = 1080 (42.8%)</w:t>
      </w:r>
    </w:p>
    <w:p>
      <w:pPr>
        <w:numPr>
          <w:ilvl w:val="0"/>
          <w:numId w:val="1007"/>
        </w:numPr>
        <w:pStyle w:val="Compact"/>
      </w:pPr>
      <w:r>
        <w:t xml:space="preserve">Spouses, Book Ḥ (8) according to number T and F,</w:t>
      </w:r>
      <w:r>
        <w:t xml:space="preserve"> </w:t>
      </w:r>
      <w:r>
        <w:rPr>
          <w:strike/>
        </w:rPr>
        <w:t xml:space="preserve">480</w:t>
      </w:r>
      <w:r>
        <w:t xml:space="preserve"> </w:t>
      </w:r>
      <w:r>
        <w:t xml:space="preserve">- 90 = 390 (15.5%)</w:t>
      </w:r>
    </w:p>
    <w:p>
      <w:pPr>
        <w:numPr>
          <w:ilvl w:val="0"/>
          <w:numId w:val="1007"/>
        </w:numPr>
        <w:pStyle w:val="Compact"/>
      </w:pPr>
      <w:r>
        <w:t xml:space="preserve">Fathers, Book Z (7) according to number T and K,</w:t>
      </w:r>
      <w:r>
        <w:t xml:space="preserve"> </w:t>
      </w:r>
      <w:r>
        <w:rPr>
          <w:strike/>
        </w:rPr>
        <w:t xml:space="preserve">420</w:t>
      </w:r>
      <w:r>
        <w:t xml:space="preserve"> </w:t>
      </w:r>
      <w:r>
        <w:t xml:space="preserve">- 90 = 330 (13.1%)</w:t>
      </w:r>
    </w:p>
    <w:p>
      <w:pPr>
        <w:numPr>
          <w:ilvl w:val="0"/>
          <w:numId w:val="1007"/>
        </w:numPr>
        <w:pStyle w:val="Compact"/>
      </w:pPr>
      <w:r>
        <w:t xml:space="preserve">Mothers, Book W (6) according to number R, F, Y, A,</w:t>
      </w:r>
      <w:r>
        <w:t xml:space="preserve"> </w:t>
      </w:r>
      <w:r>
        <w:rPr>
          <w:strike/>
        </w:rPr>
        <w:t xml:space="preserve">360</w:t>
      </w:r>
      <w:r>
        <w:t xml:space="preserve"> </w:t>
      </w:r>
      <w:r>
        <w:t xml:space="preserve">- 90 = 270 (10.7%)</w:t>
      </w:r>
    </w:p>
    <w:p>
      <w:pPr>
        <w:numPr>
          <w:ilvl w:val="0"/>
          <w:numId w:val="1007"/>
        </w:numPr>
        <w:pStyle w:val="Compact"/>
      </w:pPr>
      <w:r>
        <w:t xml:space="preserve">Brothers, Book H (5) according to number Sh,</w:t>
      </w:r>
      <w:r>
        <w:t xml:space="preserve"> </w:t>
      </w:r>
      <w:r>
        <w:rPr>
          <w:strike/>
        </w:rPr>
        <w:t xml:space="preserve">300</w:t>
      </w:r>
      <w:r>
        <w:t xml:space="preserve"> </w:t>
      </w:r>
      <w:r>
        <w:t xml:space="preserve">- 90 = 210 (8.3%)</w:t>
      </w:r>
    </w:p>
    <w:p>
      <w:pPr>
        <w:numPr>
          <w:ilvl w:val="0"/>
          <w:numId w:val="1007"/>
        </w:numPr>
        <w:pStyle w:val="Compact"/>
      </w:pPr>
      <w:r>
        <w:t xml:space="preserve">Sisters, Book D (4) according to number R and M,</w:t>
      </w:r>
      <w:r>
        <w:t xml:space="preserve"> </w:t>
      </w:r>
      <w:r>
        <w:rPr>
          <w:strike/>
        </w:rPr>
        <w:t xml:space="preserve">240</w:t>
      </w:r>
      <w:r>
        <w:t xml:space="preserve"> </w:t>
      </w:r>
      <w:r>
        <w:t xml:space="preserve">- 90 = 150 (6.0%)</w:t>
      </w:r>
    </w:p>
    <w:p>
      <w:pPr>
        <w:numPr>
          <w:ilvl w:val="0"/>
          <w:numId w:val="1007"/>
        </w:numPr>
        <w:pStyle w:val="Compact"/>
      </w:pPr>
      <w:r>
        <w:t xml:space="preserve">Teachers, Book J (3) according to number Q and F,</w:t>
      </w:r>
      <w:r>
        <w:t xml:space="preserve"> </w:t>
      </w:r>
      <w:r>
        <w:rPr>
          <w:strike/>
        </w:rPr>
        <w:t xml:space="preserve">180</w:t>
      </w:r>
      <w:r>
        <w:t xml:space="preserve"> </w:t>
      </w:r>
      <w:r>
        <w:t xml:space="preserve">- 90 = 90 (3.6%)</w:t>
      </w:r>
    </w:p>
    <w:bookmarkEnd w:id="815"/>
    <w:bookmarkStart w:id="817" w:name="items-excluded-from-sale"/>
    <w:p>
      <w:pPr>
        <w:pStyle w:val="Heading3"/>
      </w:pPr>
      <w:r>
        <w:t xml:space="preserve">20.9.2 Items Excluded From Sale</w:t>
      </w:r>
    </w:p>
    <w:p>
      <w:pPr>
        <w:pStyle w:val="FirstParagraph"/>
      </w:pPr>
      <w:r>
        <w:t xml:space="preserve">If the house is inhabited by descendants, the male descendants inherit the house.</w:t>
      </w:r>
      <w:r>
        <w:rPr>
          <w:rStyle w:val="FootnoteReference"/>
        </w:rPr>
        <w:footnoteReference w:id="816"/>
      </w:r>
    </w:p>
    <w:p>
      <w:pPr>
        <w:pStyle w:val="BodyText"/>
      </w:pPr>
      <w:r>
        <w:t xml:space="preserve">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that these types of garments are not to be sold as part of the estate, and that they remain a part of the family. An example of how a ceremonial garment might be designed could take inspiration from the Persian Bayán Vahid 5, Gate 10.</w:t>
      </w:r>
    </w:p>
    <w:bookmarkEnd w:id="817"/>
    <w:bookmarkStart w:id="822" w:name="when-an-inheritor-does-not-exist"/>
    <w:p>
      <w:pPr>
        <w:pStyle w:val="Heading3"/>
      </w:pPr>
      <w:r>
        <w:t xml:space="preserve">20.9.3 When an Inheritor Does Not Exist</w:t>
      </w:r>
    </w:p>
    <w:p>
      <w:pPr>
        <w:pStyle w:val="FirstParagraph"/>
      </w:pPr>
      <w:r>
        <w:t xml:space="preserve">It might not be guaranteed that all seven categories of inheritors were born or are still alive when the deceased passes away. The Kitáb-i-Aqdas provides guidance in these situations.</w:t>
      </w:r>
    </w:p>
    <w:p>
      <w:pPr>
        <w:pStyle w:val="BodyText"/>
      </w:pPr>
      <w:r>
        <w:t xml:space="preserve">If there are no descendants, their portion will go to the House of Justice.</w:t>
      </w:r>
      <w:r>
        <w:rPr>
          <w:rStyle w:val="FootnoteReference"/>
        </w:rPr>
        <w:footnoteReference w:id="818"/>
      </w:r>
      <w:r>
        <w:t xml:space="preserve"> </w:t>
      </w:r>
      <w:r>
        <w:t xml:space="preserve">(1080 of 2520 shares)</w:t>
      </w:r>
    </w:p>
    <w:p>
      <w:pPr>
        <w:pStyle w:val="BodyText"/>
      </w:pPr>
      <w:r>
        <w:t xml:space="preserve">If the deceased has descendants but no other specified heirs, two thirds will go to the descendants and one third will go to the House of Justice.</w:t>
      </w:r>
      <w:r>
        <w:rPr>
          <w:rStyle w:val="FootnoteReference"/>
        </w:rPr>
        <w:footnoteReference w:id="819"/>
      </w:r>
      <w:r>
        <w:t xml:space="preserve"> </w:t>
      </w:r>
      <w:r>
        <w:t xml:space="preserve">For example, if there is no spouse, 260 of 2520 shares will be added to the descendants for a total of 1340 shares. 130 shares will go to the House of Justice.</w:t>
      </w:r>
    </w:p>
    <w:p>
      <w:pPr>
        <w:pStyle w:val="BodyText"/>
      </w:pPr>
      <w:r>
        <w:t xml:space="preserve">If there are no direct heirs from the first 6 categories but there are nephews, nieces, or their children, two thirds will go to them and one third to the House of Justice.</w:t>
      </w:r>
      <w:r>
        <w:rPr>
          <w:rStyle w:val="FootnoteReference"/>
        </w:rPr>
        <w:footnoteReference w:id="820"/>
      </w:r>
    </w:p>
    <w:p>
      <w:pPr>
        <w:pStyle w:val="BodyText"/>
      </w:pPr>
      <w:r>
        <w:t xml:space="preserve">If there are no direct heirs and no nephews, nieces, or their children, the inheritance from the first 6 categories will go to the House of Justice.</w:t>
      </w:r>
      <w:r>
        <w:rPr>
          <w:rStyle w:val="FootnoteReference"/>
        </w:rPr>
        <w:footnoteReference w:id="821"/>
      </w:r>
    </w:p>
    <w:bookmarkEnd w:id="822"/>
    <w:bookmarkStart w:id="830" w:name="the-funeral"/>
    <w:p>
      <w:pPr>
        <w:pStyle w:val="Heading3"/>
      </w:pPr>
      <w:r>
        <w:t xml:space="preserve">20.9.4 The Funeral</w:t>
      </w:r>
    </w:p>
    <w:p>
      <w:pPr>
        <w:pStyle w:val="FirstParagraph"/>
      </w:pPr>
      <w:r>
        <w:t xml:space="preserve">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for the person who passed. The following are the steps for the full funeral.</w:t>
      </w:r>
    </w:p>
    <w:bookmarkStart w:id="823" w:name="preparation"/>
    <w:p>
      <w:pPr>
        <w:pStyle w:val="Heading4"/>
      </w:pPr>
      <w:r>
        <w:t xml:space="preserve">20.9.4.1 Preparation</w:t>
      </w:r>
    </w:p>
    <w:p>
      <w:pPr>
        <w:numPr>
          <w:ilvl w:val="0"/>
          <w:numId w:val="1008"/>
        </w:numPr>
        <w:pStyle w:val="Compact"/>
      </w:pPr>
      <w:r>
        <w:t xml:space="preserve">Handle the body with dignity and stillness.</w:t>
      </w:r>
    </w:p>
    <w:p>
      <w:pPr>
        <w:numPr>
          <w:ilvl w:val="0"/>
          <w:numId w:val="1008"/>
        </w:numPr>
        <w:pStyle w:val="Compact"/>
      </w:pPr>
      <w:r>
        <w:t xml:space="preserve">Repeat the six Names of God, or God alone, from the moment of death until burial.</w:t>
      </w:r>
    </w:p>
    <w:p>
      <w:pPr>
        <w:numPr>
          <w:ilvl w:val="0"/>
          <w:numId w:val="1008"/>
        </w:numPr>
        <w:pStyle w:val="Compact"/>
      </w:pPr>
      <w:r>
        <w:t xml:space="preserve">Prepare pure water, optionally mixed with camphor and lotus leaves.</w:t>
      </w:r>
    </w:p>
    <w:p>
      <w:pPr>
        <w:numPr>
          <w:ilvl w:val="0"/>
          <w:numId w:val="1008"/>
        </w:numPr>
        <w:pStyle w:val="Compact"/>
      </w:pPr>
      <w:r>
        <w:t xml:space="preserve">Ensure the washing is performed by the righteous.</w:t>
      </w:r>
    </w:p>
    <w:bookmarkEnd w:id="823"/>
    <w:bookmarkStart w:id="824" w:name="washing-of-the-body"/>
    <w:p>
      <w:pPr>
        <w:pStyle w:val="Heading4"/>
      </w:pPr>
      <w:r>
        <w:t xml:space="preserve">20.9.4.2 Washing of the Body</w:t>
      </w:r>
    </w:p>
    <w:p>
      <w:pPr>
        <w:numPr>
          <w:ilvl w:val="0"/>
          <w:numId w:val="1009"/>
        </w:numPr>
        <w:pStyle w:val="Compact"/>
      </w:pPr>
      <w:r>
        <w:t xml:space="preserve">Wash the head,</w:t>
      </w:r>
      <w:r>
        <w:t xml:space="preserve"> </w:t>
      </w:r>
      <w:r>
        <w:t xml:space="preserve">“</w:t>
      </w:r>
      <w:r>
        <w:t xml:space="preserve">O Singular One.</w:t>
      </w:r>
      <w:r>
        <w:t xml:space="preserve">”</w:t>
      </w:r>
    </w:p>
    <w:p>
      <w:pPr>
        <w:numPr>
          <w:ilvl w:val="0"/>
          <w:numId w:val="1009"/>
        </w:numPr>
        <w:pStyle w:val="Compact"/>
      </w:pPr>
      <w:r>
        <w:t xml:space="preserve">Wash the abdomen,</w:t>
      </w:r>
      <w:r>
        <w:t xml:space="preserve"> </w:t>
      </w:r>
      <w:r>
        <w:t xml:space="preserve">“</w:t>
      </w:r>
      <w:r>
        <w:t xml:space="preserve">O Living One.</w:t>
      </w:r>
      <w:r>
        <w:t xml:space="preserve">”</w:t>
      </w:r>
    </w:p>
    <w:p>
      <w:pPr>
        <w:numPr>
          <w:ilvl w:val="0"/>
          <w:numId w:val="1009"/>
        </w:numPr>
        <w:pStyle w:val="Compact"/>
      </w:pPr>
      <w:r>
        <w:t xml:space="preserve">Wash the right side,</w:t>
      </w:r>
      <w:r>
        <w:t xml:space="preserve"> </w:t>
      </w:r>
      <w:r>
        <w:t xml:space="preserve">“</w:t>
      </w:r>
      <w:r>
        <w:t xml:space="preserve">O Self Subsisting One.</w:t>
      </w:r>
      <w:r>
        <w:t xml:space="preserve">”</w:t>
      </w:r>
    </w:p>
    <w:p>
      <w:pPr>
        <w:numPr>
          <w:ilvl w:val="0"/>
          <w:numId w:val="1009"/>
        </w:numPr>
        <w:pStyle w:val="Compact"/>
      </w:pPr>
      <w:r>
        <w:t xml:space="preserve">Wash the left side,</w:t>
      </w:r>
      <w:r>
        <w:t xml:space="preserve"> </w:t>
      </w:r>
      <w:r>
        <w:t xml:space="preserve">“</w:t>
      </w:r>
      <w:r>
        <w:t xml:space="preserve">O Wise One.</w:t>
      </w:r>
      <w:r>
        <w:t xml:space="preserve">”</w:t>
      </w:r>
    </w:p>
    <w:p>
      <w:pPr>
        <w:numPr>
          <w:ilvl w:val="0"/>
          <w:numId w:val="1009"/>
        </w:numPr>
        <w:pStyle w:val="Compact"/>
      </w:pPr>
      <w:r>
        <w:t xml:space="preserve">Wash the right foot,</w:t>
      </w:r>
      <w:r>
        <w:t xml:space="preserve"> </w:t>
      </w:r>
      <w:r>
        <w:t xml:space="preserve">“</w:t>
      </w:r>
      <w:r>
        <w:t xml:space="preserve">O Just One.</w:t>
      </w:r>
      <w:r>
        <w:t xml:space="preserve">”</w:t>
      </w:r>
    </w:p>
    <w:p>
      <w:pPr>
        <w:numPr>
          <w:ilvl w:val="0"/>
          <w:numId w:val="1009"/>
        </w:numPr>
        <w:pStyle w:val="Compact"/>
      </w:pPr>
      <w:r>
        <w:t xml:space="preserve">Wash the left foot,</w:t>
      </w:r>
      <w:r>
        <w:t xml:space="preserve"> </w:t>
      </w:r>
      <w:r>
        <w:t xml:space="preserve">“</w:t>
      </w:r>
      <w:r>
        <w:t xml:space="preserve">O Powerful One.</w:t>
      </w:r>
      <w:r>
        <w:t xml:space="preserve">”</w:t>
      </w:r>
    </w:p>
    <w:p>
      <w:pPr>
        <w:numPr>
          <w:ilvl w:val="0"/>
          <w:numId w:val="1009"/>
        </w:numPr>
        <w:pStyle w:val="Compact"/>
      </w:pPr>
      <w:r>
        <w:t xml:space="preserve">Perform one washing. Up to three or five are permitted.</w:t>
      </w:r>
    </w:p>
    <w:p>
      <w:pPr>
        <w:numPr>
          <w:ilvl w:val="0"/>
          <w:numId w:val="1009"/>
        </w:numPr>
        <w:pStyle w:val="Compact"/>
      </w:pPr>
      <w:r>
        <w:t xml:space="preserve">Use water, warm or cool, suitable to the condition of the body.</w:t>
      </w:r>
    </w:p>
    <w:p>
      <w:pPr>
        <w:numPr>
          <w:ilvl w:val="0"/>
          <w:numId w:val="1009"/>
        </w:numPr>
        <w:pStyle w:val="Compact"/>
      </w:pPr>
      <w:r>
        <w:t xml:space="preserve">After washing, perfume the body with fresh fragrance.</w:t>
      </w:r>
    </w:p>
    <w:bookmarkEnd w:id="824"/>
    <w:bookmarkStart w:id="825" w:name="shrouding"/>
    <w:p>
      <w:pPr>
        <w:pStyle w:val="Heading4"/>
      </w:pPr>
      <w:r>
        <w:t xml:space="preserve">20.9.4.3 Shrouding</w:t>
      </w:r>
    </w:p>
    <w:p>
      <w:pPr>
        <w:numPr>
          <w:ilvl w:val="0"/>
          <w:numId w:val="1010"/>
        </w:numPr>
        <w:pStyle w:val="Compact"/>
      </w:pPr>
      <w:r>
        <w:t xml:space="preserve">Shroud the body in five layers of silk or fine cotton.</w:t>
      </w:r>
    </w:p>
    <w:p>
      <w:pPr>
        <w:numPr>
          <w:ilvl w:val="0"/>
          <w:numId w:val="1010"/>
        </w:numPr>
        <w:pStyle w:val="Compact"/>
      </w:pPr>
      <w:r>
        <w:t xml:space="preserve">Up to nineteen Names of God may be inscribed on the shroud.</w:t>
      </w:r>
    </w:p>
    <w:p>
      <w:pPr>
        <w:numPr>
          <w:ilvl w:val="0"/>
          <w:numId w:val="1010"/>
        </w:numPr>
        <w:pStyle w:val="Compact"/>
      </w:pPr>
      <w:r>
        <w:t xml:space="preserve">Wrap the body with calm and reverence.</w:t>
      </w:r>
    </w:p>
    <w:bookmarkEnd w:id="825"/>
    <w:bookmarkStart w:id="826" w:name="the-ring"/>
    <w:p>
      <w:pPr>
        <w:pStyle w:val="Heading4"/>
      </w:pPr>
      <w:r>
        <w:t xml:space="preserve">20.9.4.4 The Ring</w:t>
      </w:r>
    </w:p>
    <w:p>
      <w:pPr>
        <w:numPr>
          <w:ilvl w:val="0"/>
          <w:numId w:val="1011"/>
        </w:numPr>
        <w:pStyle w:val="Compact"/>
      </w:pPr>
      <w:r>
        <w:t xml:space="preserve">Place this inscription on the right hand:</w:t>
      </w:r>
    </w:p>
    <w:p>
      <w:pPr>
        <w:pStyle w:val="BlockText"/>
      </w:pPr>
      <w:r>
        <w:t xml:space="preserve">Men:</w:t>
      </w:r>
      <w:r>
        <w:t xml:space="preserve"> </w:t>
      </w:r>
      <w:r>
        <w:t xml:space="preserve">“</w:t>
      </w:r>
      <w:r>
        <w:t xml:space="preserve">To God belongs the dominion of the heavens and the earth and what is between them, and God is All-Knowing of all things.</w:t>
      </w:r>
      <w:r>
        <w:t xml:space="preserve">”</w:t>
      </w:r>
      <w:r>
        <w:t xml:space="preserve"> </w:t>
      </w:r>
      <w:r>
        <w:t xml:space="preserve">Women:</w:t>
      </w:r>
      <w:r>
        <w:t xml:space="preserve"> </w:t>
      </w:r>
      <w:r>
        <w:t xml:space="preserve">“</w:t>
      </w:r>
      <w:r>
        <w:t xml:space="preserve">To God belongs the dominion of the heavens and the earth and what is between them, and God is Most-Powerful over all things.</w:t>
      </w:r>
      <w:r>
        <w:t xml:space="preserve">”</w:t>
      </w:r>
    </w:p>
    <w:bookmarkEnd w:id="826"/>
    <w:bookmarkStart w:id="827" w:name="the-coffin"/>
    <w:p>
      <w:pPr>
        <w:pStyle w:val="Heading4"/>
      </w:pPr>
      <w:r>
        <w:t xml:space="preserve">20.9.4.5 The Coffin</w:t>
      </w:r>
    </w:p>
    <w:p>
      <w:pPr>
        <w:numPr>
          <w:ilvl w:val="0"/>
          <w:numId w:val="1012"/>
        </w:numPr>
        <w:pStyle w:val="Compact"/>
      </w:pPr>
      <w:r>
        <w:t xml:space="preserve">Place the body in a coffin of crystal, stone resistant to decay, or fine, hard wood.</w:t>
      </w:r>
    </w:p>
    <w:p>
      <w:pPr>
        <w:numPr>
          <w:ilvl w:val="0"/>
          <w:numId w:val="1012"/>
        </w:numPr>
        <w:pStyle w:val="Compact"/>
      </w:pPr>
      <w:r>
        <w:t xml:space="preserve">Place fragrance within the coffin before closing it.</w:t>
      </w:r>
    </w:p>
    <w:bookmarkEnd w:id="827"/>
    <w:bookmarkStart w:id="828" w:name="the-funeral-prayer-ṣalát-al-janázah"/>
    <w:p>
      <w:pPr>
        <w:pStyle w:val="Heading4"/>
      </w:pPr>
      <w:r>
        <w:t xml:space="preserve">20.9.4.6 The Funeral Prayer (Ṣalát al-Janázah)</w:t>
      </w:r>
    </w:p>
    <w:p>
      <w:pPr>
        <w:numPr>
          <w:ilvl w:val="0"/>
          <w:numId w:val="1013"/>
        </w:numPr>
        <w:pStyle w:val="Compact"/>
      </w:pPr>
      <w:r>
        <w:t xml:space="preserve">The congregation stands. No bowing or prostration is performed.</w:t>
      </w:r>
    </w:p>
    <w:p>
      <w:pPr>
        <w:numPr>
          <w:ilvl w:val="0"/>
          <w:numId w:val="1013"/>
        </w:numPr>
        <w:pStyle w:val="Compact"/>
      </w:pPr>
      <w:r>
        <w:t xml:space="preserve">The prayer is said once only, facing toward God.</w:t>
      </w:r>
    </w:p>
    <w:p>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pPr>
        <w:pStyle w:val="BlockText"/>
      </w:pPr>
      <w:r>
        <w:t xml:space="preserve">Then recite:</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worship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bow down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devoted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remember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grateful to God</w:t>
      </w:r>
      <w:r>
        <w:t xml:space="preserve">”</w:t>
      </w:r>
      <w:r>
        <w:t xml:space="preserve">, 19 times.</w:t>
      </w:r>
    </w:p>
    <w:p>
      <w:pPr>
        <w:numPr>
          <w:ilvl w:val="0"/>
          <w:numId w:val="1014"/>
        </w:numPr>
        <w:pStyle w:val="Compact"/>
      </w:pPr>
      <w:r>
        <w:t xml:space="preserve">“</w:t>
      </w:r>
      <w:r>
        <w:t xml:space="preserve">Alláh-u-Abhá</w:t>
      </w:r>
      <w:r>
        <w:t xml:space="preserve">”</w:t>
      </w:r>
      <w:r>
        <w:t xml:space="preserve">, then</w:t>
      </w:r>
      <w:r>
        <w:t xml:space="preserve"> </w:t>
      </w:r>
      <w:r>
        <w:t xml:space="preserve">“</w:t>
      </w:r>
      <w:r>
        <w:t xml:space="preserve">We all, verily, are patient for God</w:t>
      </w:r>
      <w:r>
        <w:t xml:space="preserve">”</w:t>
      </w:r>
      <w:r>
        <w:t xml:space="preserve">, 19 times.</w:t>
      </w:r>
    </w:p>
    <w:bookmarkEnd w:id="828"/>
    <w:bookmarkStart w:id="829" w:name="burial"/>
    <w:p>
      <w:pPr>
        <w:pStyle w:val="Heading4"/>
      </w:pPr>
      <w:r>
        <w:t xml:space="preserve">20.9.4.7 Burial</w:t>
      </w:r>
    </w:p>
    <w:p>
      <w:pPr>
        <w:numPr>
          <w:ilvl w:val="0"/>
          <w:numId w:val="1015"/>
        </w:numPr>
        <w:pStyle w:val="Compact"/>
      </w:pPr>
      <w:r>
        <w:t xml:space="preserve">Following the prayer, the coffin is carried reverently to the grave.</w:t>
      </w:r>
    </w:p>
    <w:p>
      <w:pPr>
        <w:numPr>
          <w:ilvl w:val="0"/>
          <w:numId w:val="1015"/>
        </w:numPr>
        <w:pStyle w:val="Compact"/>
      </w:pPr>
      <w:r>
        <w:t xml:space="preserve">Bury the body within one hour’s distance from the place of death.</w:t>
      </w:r>
    </w:p>
    <w:p>
      <w:pPr>
        <w:numPr>
          <w:ilvl w:val="0"/>
          <w:numId w:val="1015"/>
        </w:numPr>
        <w:pStyle w:val="Compact"/>
      </w:pPr>
      <w:r>
        <w:t xml:space="preserve">Bury the body with spirit and fragrance in a nearby place.</w:t>
      </w:r>
    </w:p>
    <w:p>
      <w:pPr>
        <w:numPr>
          <w:ilvl w:val="0"/>
          <w:numId w:val="1015"/>
        </w:numPr>
        <w:pStyle w:val="Compact"/>
      </w:pPr>
      <w:r>
        <w:t xml:space="preserve">As the body is lowered, one may say:</w:t>
      </w:r>
    </w:p>
    <w:p>
      <w:pPr>
        <w:pStyle w:val="BlockText"/>
      </w:pPr>
      <w:r>
        <w:t xml:space="preserve">“</w:t>
      </w:r>
      <w:r>
        <w:t xml:space="preserve">I began from God and returned to Him, detached from all else, and clinging to His Name, the Most Merciful, the Most Compassionate.</w:t>
      </w:r>
      <w:r>
        <w:t xml:space="preserve">”</w:t>
      </w:r>
    </w:p>
    <w:p>
      <w:pPr>
        <w:numPr>
          <w:ilvl w:val="0"/>
          <w:numId w:val="1016"/>
        </w:numPr>
        <w:pStyle w:val="Compact"/>
      </w:pPr>
      <w:r>
        <w:t xml:space="preserve">Maintain silence and remembrance until the burial is complete.</w:t>
      </w:r>
    </w:p>
    <w:p>
      <w:pPr>
        <w:pStyle w:val="FirstParagraph"/>
      </w:pPr>
      <w:r>
        <w:rPr>
          <w:iCs/>
          <w:i/>
        </w:rPr>
        <w:t xml:space="preserve">Reflection: What does it mean to order your life as preparation for death?</w:t>
      </w:r>
    </w:p>
    <w:p>
      <w:pPr>
        <w:pStyle w:val="BodyText"/>
      </w:pPr>
      <w:r>
        <w:t xml:space="preserve">To close the chapter, we can gather the many trusts into one practice that makes trusteeship workable.</w:t>
      </w:r>
    </w:p>
    <w:bookmarkEnd w:id="829"/>
    <w:bookmarkEnd w:id="830"/>
    <w:bookmarkEnd w:id="831"/>
    <w:bookmarkStart w:id="832" w:name="closing-thoughts-about-trusteeship"/>
    <w:p>
      <w:pPr>
        <w:pStyle w:val="Heading2"/>
      </w:pPr>
      <w:r>
        <w:t xml:space="preserve">20.10 Closing Thoughts About Trusteeship</w:t>
      </w:r>
    </w:p>
    <w:p>
      <w:pPr>
        <w:pStyle w:val="FirstParagraph"/>
      </w:pPr>
      <w:r>
        <w:t xml:space="preserve">There are many aspects of life which could be covered regarding trusteeship, especially within our social lives and relationships. I hope covering these major themes helps provide a vision and framework for how to apply these ideas in the various complicated situations which arise in life. Trusteeship, as when it is applied to the raising of children in relation to the Badíʿ Calendar, is an enriching way to add to the practice of Honoring God.</w:t>
      </w:r>
    </w:p>
    <w:p>
      <w:pPr>
        <w:pStyle w:val="BodyText"/>
      </w:pPr>
      <w:r>
        <w:t xml:space="preserve">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pPr>
        <w:pStyle w:val="BodyText"/>
      </w:pPr>
      <w:r>
        <w:t xml:space="preserve">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r>
        <w:br w:type="page"/>
      </w:r>
    </w:p>
    <w:bookmarkEnd w:id="832"/>
    <w:bookmarkEnd w:id="833"/>
    <w:bookmarkStart w:id="852" w:name="consultation"/>
    <w:p>
      <w:pPr>
        <w:pStyle w:val="Heading1"/>
      </w:pPr>
      <w:r>
        <w:t xml:space="preserve">21. Consultation</w:t>
      </w:r>
    </w:p>
    <w:p>
      <w:pPr>
        <w:pStyle w:val="FirstParagraph"/>
      </w:pPr>
      <w:r>
        <w:t xml:space="preserve">In Chapter 15, we learned of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834"/>
      </w:r>
    </w:p>
    <w:bookmarkStart w:id="844" w:name="types-of-consultation"/>
    <w:p>
      <w:pPr>
        <w:pStyle w:val="Heading2"/>
      </w:pPr>
      <w:r>
        <w:t xml:space="preserve">21.1 Types of Consultation</w:t>
      </w:r>
    </w:p>
    <w:p>
      <w:pPr>
        <w:pStyle w:val="FirstParagraph"/>
      </w:pPr>
      <w:r>
        <w:t xml:space="preserve">There are two types of consultation. One is when we refer a matter to an expert. The trained professional is capable of consulting their expertise as a trustee to whom someone has sought their expertise. They are skilled in being a witness to the problem and in providing the necessary help. For an example regarding seeking medical care, we are commanded to heed a doctor’s prescriptions and orders.</w:t>
      </w:r>
      <w:r>
        <w:rPr>
          <w:rStyle w:val="FootnoteReference"/>
        </w:rPr>
        <w:footnoteReference w:id="835"/>
      </w:r>
      <w:r>
        <w:t xml:space="preserve"> </w:t>
      </w:r>
      <w:r>
        <w:t xml:space="preserve">We are to seek expertise where we lack expertise and follow the expert’s commands in the subject in which they are an expert. This is the same as following God. The only condition is that the expert must actually be skilled. Standards in licensing, education, and other professional certifications can help a person discern who is an expert and who is not. We cannot follow every claimant.</w:t>
      </w:r>
    </w:p>
    <w:p>
      <w:pPr>
        <w:pStyle w:val="BodyText"/>
      </w:pPr>
      <w:r>
        <w:t xml:space="preserve">The second type of consultation is among a group of peers. The Kitáb-i-Aqdas mentions consultation only once, but it is directly in relation to trusteeship.</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836"/>
      </w:r>
    </w:p>
    <w:p>
      <w:pPr>
        <w:pStyle w:val="FirstParagraph"/>
      </w:pPr>
      <w:r>
        <w:t xml:space="preserve">The Houses of Justice are to be the exemplars of trusteeship and consultation, but consultation is a binding command for all.</w:t>
      </w:r>
      <w:r>
        <w:rPr>
          <w:rStyle w:val="FootnoteReference"/>
        </w:rPr>
        <w:footnoteReference w:id="837"/>
      </w:r>
      <w:r>
        <w:t xml:space="preserve"> </w:t>
      </w:r>
      <w:r>
        <w:t xml:space="preserve">There is no power except through unity and no well-being except through consultation.</w:t>
      </w:r>
      <w:r>
        <w:rPr>
          <w:rStyle w:val="FootnoteReference"/>
        </w:rPr>
        <w:footnoteReference w:id="838"/>
      </w:r>
      <w:r>
        <w:t xml:space="preserve"> </w:t>
      </w:r>
      <w:r>
        <w:t xml:space="preserve">Consultation is necessary in all matters.</w:t>
      </w:r>
      <w:r>
        <w:rPr>
          <w:rStyle w:val="FootnoteReference"/>
        </w:rPr>
        <w:footnoteReference w:id="839"/>
      </w:r>
      <w:r>
        <w:t xml:space="preserve"> </w:t>
      </w:r>
      <w:r>
        <w:t xml:space="preserve">It increases awareness and turns conjecture into certitude.</w:t>
      </w:r>
      <w:r>
        <w:rPr>
          <w:rStyle w:val="FootnoteReference"/>
        </w:rPr>
        <w:footnoteReference w:id="840"/>
      </w:r>
      <w:r>
        <w:t xml:space="preserve"> </w:t>
      </w:r>
      <w:r>
        <w:t xml:space="preserve">It is the cause and means of vigilance, welfare, and safety.</w:t>
      </w:r>
      <w:r>
        <w:rPr>
          <w:rStyle w:val="FootnoteReference"/>
        </w:rPr>
        <w:footnoteReference w:id="841"/>
      </w:r>
    </w:p>
    <w:p>
      <w:pPr>
        <w:pStyle w:val="BodyText"/>
      </w:pPr>
      <w:r>
        <w:t xml:space="preserve">The Holy Spirit confirms consultation.</w:t>
      </w:r>
      <w:r>
        <w:rPr>
          <w:rStyle w:val="FootnoteReference"/>
        </w:rPr>
        <w:footnoteReference w:id="842"/>
      </w:r>
      <w:r>
        <w:t xml:space="preserve"> </w:t>
      </w:r>
      <w:r>
        <w:t xml:space="preserve">Consultation is such an act of power that Bahá’u’lláh even allowed acts of consultation to override his directives to community members when He was acting as an administrator to the communities, such as deciding which city to travel to next.</w:t>
      </w:r>
      <w:r>
        <w:rPr>
          <w:rStyle w:val="FootnoteReference"/>
        </w:rPr>
        <w:footnoteReference w:id="843"/>
      </w:r>
      <w:r>
        <w:t xml:space="preserve"> </w:t>
      </w:r>
      <w:r>
        <w:t xml:space="preserve">Consultation does not override revelation from God but instead works within the framework and boundaries provided to us.</w:t>
      </w:r>
    </w:p>
    <w:p>
      <w:pPr>
        <w:pStyle w:val="BodyText"/>
      </w:pPr>
      <w:r>
        <w:t xml:space="preserve">All power mechanisms after Bahá’u’lláh are subordinate to consultation, no matter who has power and no matter the context of power. All consultation is guided by God and affirmed as part of the Cause of God.</w:t>
      </w:r>
    </w:p>
    <w:p>
      <w:pPr>
        <w:pStyle w:val="BodyText"/>
      </w:pPr>
      <w:r>
        <w:rPr>
          <w:iCs/>
          <w:i/>
        </w:rPr>
        <w:t xml:space="preserve">Reflection: How do the different forms of consultation shape the way authority, expertise, and unity are balanced in our lives?</w:t>
      </w:r>
    </w:p>
    <w:p>
      <w:pPr>
        <w:pStyle w:val="BodyText"/>
      </w:pPr>
      <w:r>
        <w:t xml:space="preserve">This distinction prepares us to examine how consultation actually unfolds in practice.</w:t>
      </w:r>
    </w:p>
    <w:bookmarkEnd w:id="844"/>
    <w:bookmarkStart w:id="846" w:name="consultation-process"/>
    <w:p>
      <w:pPr>
        <w:pStyle w:val="Heading2"/>
      </w:pPr>
      <w:r>
        <w:t xml:space="preserve">21.2 Consultation Process</w:t>
      </w:r>
    </w:p>
    <w:p>
      <w:pPr>
        <w:pStyle w:val="FirstParagraph"/>
      </w:pPr>
      <w:r>
        <w:t xml:space="preserve">For the Houses of Justice, there was no specific consultation process outlined. For general consultation for everyone else, there are a few guidelines Bahá’u’lláh provided.</w:t>
      </w:r>
    </w:p>
    <w:p>
      <w:pPr>
        <w:pStyle w:val="BlockText"/>
      </w:pPr>
      <w:r>
        <w:t xml:space="preserve">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w:t>
      </w:r>
      <w:r>
        <w:t xml:space="preserve"> </w:t>
      </w:r>
      <w:r>
        <w:t xml:space="preserve">“</w:t>
      </w:r>
      <w:r>
        <w:t xml:space="preserve">adorn the two with a third and take the strongest.</w:t>
      </w:r>
      <w:r>
        <w:t xml:space="preserve">”</w:t>
      </w:r>
      <w:r>
        <w:t xml:space="preserve"> </w:t>
      </w:r>
      <w:r>
        <w:t xml:space="preserve">Verily, He guides whom He wills to the straight path. Thus has the Lord of all beings decreed in this station.</w:t>
      </w:r>
      <w:r>
        <w:rPr>
          <w:rStyle w:val="FootnoteReference"/>
        </w:rPr>
        <w:footnoteReference w:id="845"/>
      </w:r>
    </w:p>
    <w:p>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pPr>
        <w:pStyle w:val="BodyText"/>
      </w:pPr>
      <w:r>
        <w:t xml:space="preserve">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pPr>
        <w:pStyle w:val="BodyText"/>
      </w:pPr>
      <w:r>
        <w:t xml:space="preserve">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pPr>
        <w:pStyle w:val="BodyText"/>
      </w:pPr>
      <w:r>
        <w:t xml:space="preserve">Bahá’u’lláh does not necessarily express a majority-rules framework. I could see a community adopting a majority-rules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pPr>
        <w:pStyle w:val="BodyText"/>
      </w:pPr>
      <w:r>
        <w:rPr>
          <w:iCs/>
          <w:i/>
        </w:rPr>
        <w:t xml:space="preserve">Reflection: What kinds of matters in daily life reveal the breadth of situations that require consultation?</w:t>
      </w:r>
    </w:p>
    <w:p>
      <w:pPr>
        <w:pStyle w:val="BodyText"/>
      </w:pPr>
      <w:r>
        <w:t xml:space="preserve">To evaluate consultation, I want to take a pass through the witness, trustee, and helper model through some of the prior concepts of this book.</w:t>
      </w:r>
    </w:p>
    <w:bookmarkEnd w:id="846"/>
    <w:bookmarkStart w:id="847" w:name="matters-to-consult-on"/>
    <w:p>
      <w:pPr>
        <w:pStyle w:val="Heading2"/>
      </w:pPr>
      <w:r>
        <w:t xml:space="preserve">21.3 Matters to Consult On</w:t>
      </w:r>
    </w:p>
    <w:p>
      <w:pPr>
        <w:pStyle w:val="FirstParagraph"/>
      </w:pPr>
      <w:r>
        <w:t xml:space="preserve">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pPr>
        <w:pStyle w:val="BodyText"/>
      </w:pPr>
      <w:r>
        <w:t xml:space="preserve">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diplomacy, representation, welfare, and education. Taken together, these subjects suggest that virtually no area of life falls entirely outside the scope of what consultation can illuminate.</w:t>
      </w:r>
    </w:p>
    <w:p>
      <w:pPr>
        <w:pStyle w:val="BodyText"/>
      </w:pPr>
      <w:r>
        <w:t xml:space="preserve">These three levels could intersect in varying ways. Due to its importance, I do want to offer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pPr>
        <w:pStyle w:val="BodyText"/>
      </w:pPr>
      <w:r>
        <w:rPr>
          <w:iCs/>
          <w:i/>
        </w:rPr>
        <w:t xml:space="preserve">Reflection: How does witnessing shape the quality of understanding that emerges from consultation?</w:t>
      </w:r>
    </w:p>
    <w:p>
      <w:pPr>
        <w:pStyle w:val="BodyText"/>
      </w:pPr>
      <w:r>
        <w:t xml:space="preserve">With the scope of consultation established, we now examine the first role within it.</w:t>
      </w:r>
    </w:p>
    <w:bookmarkEnd w:id="847"/>
    <w:bookmarkStart w:id="848" w:name="witnessing"/>
    <w:p>
      <w:pPr>
        <w:pStyle w:val="Heading2"/>
      </w:pPr>
      <w:r>
        <w:t xml:space="preserve">21.4 Witnessing</w:t>
      </w:r>
    </w:p>
    <w:p>
      <w:pPr>
        <w:pStyle w:val="FirstParagraph"/>
      </w:pPr>
      <w:r>
        <w:t xml:space="preserve">In consultation, witnessing is the first role. To be a witness is directly tied to our capacities and to the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pPr>
        <w:pStyle w:val="BodyText"/>
      </w:pPr>
      <w:r>
        <w:t xml:space="preserve">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the Names each reflects. If Knowledge was missing with one person, another in the counsel might shine that light. We might not see all the names of God as we serve as witness, but the chances to witness with an increasing number of names are much greater than if a person were to witness alone.</w:t>
      </w:r>
    </w:p>
    <w:p>
      <w:pPr>
        <w:pStyle w:val="BodyText"/>
      </w:pPr>
      <w:r>
        <w:t xml:space="preserve">Witnessing requires the ability to ask questions. If a person feels they only have answers or that their testimony is the only valid testimony, it will show by the inability of the person to ask questions. Consultation requires a perspective from which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pPr>
        <w:pStyle w:val="BodyText"/>
      </w:pPr>
      <w:r>
        <w:rPr>
          <w:iCs/>
          <w:i/>
        </w:rPr>
        <w:t xml:space="preserve">Reflection: What responsibilities emerge once testimony has been offered and truth has been observed together?</w:t>
      </w:r>
    </w:p>
    <w:p>
      <w:pPr>
        <w:pStyle w:val="BodyText"/>
      </w:pPr>
      <w:r>
        <w:t xml:space="preserve">This question prepares the movement from witnessing into trusteeship.</w:t>
      </w:r>
    </w:p>
    <w:bookmarkEnd w:id="848"/>
    <w:bookmarkStart w:id="849" w:name="trustee"/>
    <w:p>
      <w:pPr>
        <w:pStyle w:val="Heading2"/>
      </w:pPr>
      <w:r>
        <w:t xml:space="preserve">21.5 Trustee</w:t>
      </w:r>
    </w:p>
    <w:p>
      <w:pPr>
        <w:pStyle w:val="FirstParagraph"/>
      </w:pPr>
      <w:r>
        <w:t xml:space="preserve">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pPr>
        <w:pStyle w:val="BodyText"/>
      </w:pPr>
      <w:r>
        <w:t xml:space="preserve">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pPr>
        <w:pStyle w:val="BodyText"/>
      </w:pPr>
      <w:r>
        <w:t xml:space="preserve">We are also trustees of truth. We treat what is witnessed as sacred, and we allow our spiritual practice to be sacred to the process. This does not necessarily mean the counsel prays in the moment, but rather that it allows our prayers, remembrance, recitation, reflection, and honoring God to also act in trust within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pPr>
        <w:pStyle w:val="BodyText"/>
      </w:pPr>
      <w:r>
        <w:rPr>
          <w:iCs/>
          <w:i/>
        </w:rPr>
        <w:t xml:space="preserve">Reflection: How does assistance transform consultation from discussion into action?</w:t>
      </w:r>
    </w:p>
    <w:p>
      <w:pPr>
        <w:pStyle w:val="BodyText"/>
      </w:pPr>
      <w:r>
        <w:t xml:space="preserve">Having considered trusteeship, we now move to the role that enables outcomes.</w:t>
      </w:r>
    </w:p>
    <w:bookmarkEnd w:id="849"/>
    <w:bookmarkStart w:id="850" w:name="helper"/>
    <w:p>
      <w:pPr>
        <w:pStyle w:val="Heading2"/>
      </w:pPr>
      <w:r>
        <w:t xml:space="preserve">21.6 Helper</w:t>
      </w:r>
    </w:p>
    <w:p>
      <w:pPr>
        <w:pStyle w:val="FirstParagraph"/>
      </w:pPr>
      <w:r>
        <w:t xml:space="preserve">Consultation requires us to be able to help each other during consultation and after consultation. Whether in agreement or disagreement, the counsel needs to ensure all individuals involved and anyone affected are supported and encouraged. As consultation operates within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pPr>
        <w:pStyle w:val="BodyText"/>
      </w:pPr>
      <w:r>
        <w:t xml:space="preserve">In helping, we might need to adapt how we viewed our role in the situation or adapt our understanding of what we witnessed. We may have to understand that a prior result of consultation may not apply to every situation, so the fruits of consultation could vary on a case-by-case basis. We need to be able to affirm the positive aspect of each person’s role and, where difficulties arise, be willing to serve the person struggling with the consultation itself or the situation the consultation is addressing.</w:t>
      </w:r>
    </w:p>
    <w:p>
      <w:pPr>
        <w:pStyle w:val="BodyText"/>
      </w:pPr>
      <w:r>
        <w:t xml:space="preserve">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pPr>
        <w:pStyle w:val="BodyText"/>
      </w:pPr>
      <w:r>
        <w:t xml:space="preserve">Finally, help does not equal coercion even in disagreement. Any concern in disagreement needs to be viewed as legitimate and addressed as best as possible. Consultation cannot be effective if it is missing compassion. Consultation, when well assisted by the counsel and people of the community, is a process which renews unity. If the constellation of virtues is unity, how these constellations guide a counsel is also unity.</w:t>
      </w:r>
    </w:p>
    <w:p>
      <w:pPr>
        <w:pStyle w:val="BodyText"/>
      </w:pPr>
      <w:r>
        <w:rPr>
          <w:iCs/>
          <w:i/>
        </w:rPr>
        <w:t xml:space="preserve">Reflection: How does sustained consultation prepare individuals and communities to carry revelation forward across generations?</w:t>
      </w:r>
    </w:p>
    <w:p>
      <w:pPr>
        <w:pStyle w:val="BodyText"/>
      </w:pPr>
      <w:r>
        <w:t xml:space="preserve">This reflection gathers the prior roles into a closing perspective on consultation’s enduring function.</w:t>
      </w:r>
    </w:p>
    <w:bookmarkEnd w:id="850"/>
    <w:bookmarkStart w:id="851" w:name="conclusion-5"/>
    <w:p>
      <w:pPr>
        <w:pStyle w:val="Heading2"/>
      </w:pPr>
      <w:r>
        <w:t xml:space="preserve">21.7 Conclusion</w:t>
      </w:r>
    </w:p>
    <w:p>
      <w:pPr>
        <w:pStyle w:val="FirstParagraph"/>
      </w:pPr>
      <w:r>
        <w:t xml:space="preserve">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pPr>
        <w:pStyle w:val="BodyText"/>
      </w:pPr>
      <w:r>
        <w:t xml:space="preserve">This concludes Part 3 of this book. The fourth and final Part of this book will progress to the Houses of Justice and how Bahá’u’lláh envisioned the period of time after Him and before the appearance of the next Manifestation of God. What is the vision after Badíʿ 49 (1892 CE) for the next 1,000+ years?</w:t>
      </w:r>
    </w:p>
    <w:p>
      <w:r>
        <w:br w:type="page"/>
      </w:r>
    </w:p>
    <w:bookmarkEnd w:id="851"/>
    <w:bookmarkEnd w:id="852"/>
    <w:bookmarkStart w:id="883" w:name="houses-of-justice"/>
    <w:p>
      <w:pPr>
        <w:pStyle w:val="Heading1"/>
      </w:pPr>
      <w:r>
        <w:t xml:space="preserve">22. Houses of Justice</w:t>
      </w:r>
    </w:p>
    <w:bookmarkStart w:id="853" w:name="introduction-4"/>
    <w:p>
      <w:pPr>
        <w:pStyle w:val="Heading2"/>
      </w:pPr>
      <w:r>
        <w:t xml:space="preserve">22.1 Introduction</w:t>
      </w:r>
    </w:p>
    <w:p>
      <w:pPr>
        <w:pStyle w:val="FirstParagraph"/>
      </w:pPr>
      <w:r>
        <w:t xml:space="preserve">The Kitáb-i-Aqdas #30 says:</w:t>
      </w:r>
    </w:p>
    <w:p>
      <w:pPr>
        <w:pStyle w:val="BlockText"/>
      </w:pPr>
      <w:r>
        <w:t xml:space="preserve">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pPr>
        <w:pStyle w:val="FirstParagraph"/>
      </w:pPr>
      <w:r>
        <w:t xml:space="preserve">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that I may refer to the singular House of Justice instead of the plural Houses at times. I view the singular House to be the name of the institution, while many Houses comprise the institution.</w:t>
      </w:r>
    </w:p>
    <w:bookmarkEnd w:id="853"/>
    <w:bookmarkStart w:id="860" w:name="the-selection-process"/>
    <w:p>
      <w:pPr>
        <w:pStyle w:val="Heading2"/>
      </w:pPr>
      <w:r>
        <w:t xml:space="preserve">22.2 The Selection Process</w:t>
      </w:r>
    </w:p>
    <w:p>
      <w:pPr>
        <w:pStyle w:val="FirstParagraph"/>
      </w:pPr>
      <w:r>
        <w:t xml:space="preserve">Bahá’u’lláh instructed a Council of Consultation to be formed for the appointment of trustees at a time when the formation of a House of Justice does not cause injustice upon the trustees or those they serve.</w:t>
      </w:r>
      <w:r>
        <w:rPr>
          <w:rStyle w:val="FootnoteReference"/>
        </w:rPr>
        <w:footnoteReference w:id="854"/>
      </w:r>
      <w:r>
        <w:t xml:space="preserve"> </w:t>
      </w:r>
      <w:r>
        <w:t xml:space="preserve">Bahá’u’lláh refrained from appointing anyone Himself. The time for appointment was too early due to kindled fire within the lands. He says</w:t>
      </w:r>
      <w:r>
        <w:t xml:space="preserve"> </w:t>
      </w:r>
      <w:r>
        <w:t xml:space="preserve">“</w:t>
      </w:r>
      <w:r>
        <w:t xml:space="preserve">if today in various cities institutions specifically known by the name of House of Justice and the like become known, there is danger for all, as the people are immature. Leave them until their backs are strengthened and they attain their maturity.</w:t>
      </w:r>
      <w:r>
        <w:t xml:space="preserve">”</w:t>
      </w:r>
      <w:r>
        <w:rPr>
          <w:rStyle w:val="FootnoteReference"/>
        </w:rPr>
        <w:footnoteReference w:id="855"/>
      </w:r>
    </w:p>
    <w:p>
      <w:pPr>
        <w:pStyle w:val="BodyText"/>
      </w:pPr>
      <w:r>
        <w:t xml:space="preserve">The Council’s results are confirmed by the signatures of believers of the lands. Bahá’u’lláh also reminds the Council to</w:t>
      </w:r>
      <w:r>
        <w:t xml:space="preserve"> </w:t>
      </w:r>
      <w:r>
        <w:t xml:space="preserve">“</w:t>
      </w:r>
      <w:r>
        <w:t xml:space="preserve">let them hold fast unto whatsoever leads to exaltation, elevation, dignity, composure, goodly deeds, spiritual qualities, words of counsel, and the reformation of heedless souls, according to the requirements of the days.</w:t>
      </w:r>
      <w:r>
        <w:t xml:space="preserve">”</w:t>
      </w:r>
      <w:r>
        <w:t xml:space="preserve"> </w:t>
      </w:r>
      <w:r>
        <w:t xml:space="preserve">These Councils and the Houses of Justice act</w:t>
      </w:r>
      <w:r>
        <w:t xml:space="preserve"> </w:t>
      </w:r>
      <w:r>
        <w:t xml:space="preserve">“</w:t>
      </w:r>
      <w:r>
        <w:t xml:space="preserve">until God shall come with His command.</w:t>
      </w:r>
      <w:r>
        <w:t xml:space="preserve">”</w:t>
      </w:r>
      <w:r>
        <w:t xml:space="preserve"> </w:t>
      </w:r>
      <w:r>
        <w:t xml:space="preserve">Once the next Manifestation of God appears, this process ends.</w:t>
      </w:r>
    </w:p>
    <w:p>
      <w:pPr>
        <w:pStyle w:val="BodyText"/>
      </w:pPr>
      <w:r>
        <w:t xml:space="preserve">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from the Council of Consultation, which is different from the signatories of the results.</w:t>
      </w:r>
    </w:p>
    <w:p>
      <w:pPr>
        <w:pStyle w:val="BodyText"/>
      </w:pPr>
      <w:r>
        <w:t xml:space="preserve">The signatories function as witnesses and notaries, testifying to the integrity of the selection process. This helps ensure the Council does not become self-authorizing, and it preserves trust in the outcome. The Council does not need to function through election, although that could be an option. The consultation would follow the rules set forth in Chapter 21, which would be guided by the Holy Spirit.</w:t>
      </w:r>
    </w:p>
    <w:p>
      <w:pPr>
        <w:pStyle w:val="BodyText"/>
      </w:pPr>
      <w:r>
        <w:t xml:space="preserve">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bookmarkStart w:id="858" w:name="a-proposed-process"/>
    <w:p>
      <w:pPr>
        <w:pStyle w:val="Heading3"/>
      </w:pPr>
      <w:r>
        <w:t xml:space="preserve">22.2.1 A Proposed Process</w:t>
      </w:r>
    </w:p>
    <w:p>
      <w:pPr>
        <w:pStyle w:val="FirstParagraph"/>
      </w:pPr>
      <w:r>
        <w:t xml:space="preserve">What follows is a baseline procedure that preserves the consultative spirit while giving the process clear steps and boundaries. It is meant to be adaptable according to the requirements of the days, without losing its essential safeguards.</w:t>
      </w:r>
    </w:p>
    <w:p>
      <w:pPr>
        <w:pStyle w:val="BodyText"/>
      </w:pPr>
      <w:r>
        <w:t xml:space="preserve">The first step involves the preconditions for formation. A Council of Consultation is formed only when the formation of a House of Justice does not cause injustice upon the trustees or those they serve.</w:t>
      </w:r>
      <w:r>
        <w:rPr>
          <w:rStyle w:val="FootnoteReference"/>
        </w:rPr>
        <w:footnoteReference w:id="856"/>
      </w:r>
      <w:r>
        <w:t xml:space="preserve"> </w:t>
      </w:r>
      <w:r>
        <w:t xml:space="preserve">The Council proceeds with restraint when the people are immature or when danger for all would follow from the public establishment of such institutions.</w:t>
      </w:r>
      <w:r>
        <w:rPr>
          <w:rStyle w:val="FootnoteReference"/>
        </w:rPr>
        <w:footnoteReference w:id="857"/>
      </w:r>
    </w:p>
    <w:p>
      <w:pPr>
        <w:pStyle w:val="BodyText"/>
      </w:pPr>
      <w:r>
        <w:t xml:space="preserve">For the second step, the community establishes a Council of Consultation for the limited purpose of appointing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pPr>
        <w:pStyle w:val="BodyText"/>
      </w:pPr>
      <w:r>
        <w:t xml:space="preserve">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pPr>
        <w:pStyle w:val="BodyText"/>
      </w:pPr>
      <w:r>
        <w:t xml:space="preserve">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w:t>
      </w:r>
      <w:r>
        <w:t xml:space="preserve"> </w:t>
      </w:r>
      <w:r>
        <w:t xml:space="preserve">“</w:t>
      </w:r>
      <w:r>
        <w:t xml:space="preserve">until God shall come with His command.</w:t>
      </w:r>
      <w:r>
        <w:t xml:space="preserve">”</w:t>
      </w:r>
      <w:r>
        <w:t xml:space="preserve"> </w:t>
      </w:r>
      <w:r>
        <w:t xml:space="preserve">With the appearance of the next Manifestation of God, this process ends.</w:t>
      </w:r>
    </w:p>
    <w:bookmarkEnd w:id="858"/>
    <w:bookmarkStart w:id="859" w:name="gender-and-eligibility"/>
    <w:p>
      <w:pPr>
        <w:pStyle w:val="Heading3"/>
      </w:pPr>
      <w:r>
        <w:t xml:space="preserve">22.2.2 Gender and Eligibility</w:t>
      </w:r>
    </w:p>
    <w:p>
      <w:pPr>
        <w:pStyle w:val="FirstParagraph"/>
      </w:pPr>
      <w:r>
        <w:t xml:space="preserve">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that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pPr>
        <w:pStyle w:val="BodyText"/>
      </w:pPr>
      <w:r>
        <w:t xml:space="preserve">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pPr>
        <w:pStyle w:val="BodyText"/>
      </w:pPr>
      <w:r>
        <w:rPr>
          <w:iCs/>
          <w:i/>
        </w:rPr>
        <w:t xml:space="preserve">Reflection: If spiritual capacity is measured inwardly, what safeguards help a community recognize it without turning leadership into status?</w:t>
      </w:r>
    </w:p>
    <w:p>
      <w:pPr>
        <w:pStyle w:val="BodyText"/>
      </w:pPr>
      <w:r>
        <w:t xml:space="preserve">That question leads directly into the roles, where limits and accountability define the scope of authority.</w:t>
      </w:r>
    </w:p>
    <w:bookmarkEnd w:id="859"/>
    <w:bookmarkEnd w:id="860"/>
    <w:bookmarkStart w:id="873" w:name="roles-of-the-houses-of-justice"/>
    <w:p>
      <w:pPr>
        <w:pStyle w:val="Heading2"/>
      </w:pPr>
      <w:r>
        <w:t xml:space="preserve">22.3 Roles of the Houses of Justice</w:t>
      </w:r>
    </w:p>
    <w:p>
      <w:pPr>
        <w:pStyle w:val="FirstParagraph"/>
      </w:pPr>
      <w:r>
        <w:t xml:space="preserve">The Houses of Justice are to serve various interlinked roles. They include being trustees of the Merciful,</w:t>
      </w:r>
      <w:r>
        <w:rPr>
          <w:rStyle w:val="FootnoteReference"/>
        </w:rPr>
        <w:footnoteReference w:id="861"/>
      </w:r>
      <w:r>
        <w:t xml:space="preserve"> </w:t>
      </w:r>
      <w:r>
        <w:t xml:space="preserve">the representatives of God,</w:t>
      </w:r>
      <w:r>
        <w:rPr>
          <w:rStyle w:val="FootnoteReference"/>
        </w:rPr>
        <w:footnoteReference w:id="862"/>
      </w:r>
      <w:r>
        <w:t xml:space="preserve"> </w:t>
      </w:r>
      <w:r>
        <w:t xml:space="preserve">the shepherds of the sheep of God,</w:t>
      </w:r>
      <w:r>
        <w:rPr>
          <w:rStyle w:val="FootnoteReference"/>
        </w:rPr>
        <w:footnoteReference w:id="863"/>
      </w:r>
      <w:r>
        <w:t xml:space="preserve"> </w:t>
      </w:r>
      <w:r>
        <w:t xml:space="preserve">and the dawning places of His command.</w:t>
      </w:r>
      <w:r>
        <w:rPr>
          <w:rStyle w:val="FootnoteReference"/>
        </w:rPr>
        <w:footnoteReference w:id="864"/>
      </w:r>
      <w:r>
        <w:t xml:space="preserve"> </w:t>
      </w:r>
      <w:r>
        <w:t xml:space="preserve">These roles are broad in scope, but they are also quite well defined. In further sections, I will clarify each of the four roles.</w:t>
      </w:r>
    </w:p>
    <w:p>
      <w:pPr>
        <w:pStyle w:val="BodyText"/>
      </w:pPr>
      <w:r>
        <w:t xml:space="preserve">In each role, there is no room to expand the scope beyond the limits of what Bahá’u’lláh stated. There is no room to add additional roles, either. In the Tablet of the Houses of Justice, Bahá’u’lláh tells the members of the Houses of Justice to</w:t>
      </w:r>
      <w:r>
        <w:t xml:space="preserve"> </w:t>
      </w:r>
      <w:r>
        <w:t xml:space="preserve">“</w:t>
      </w:r>
      <w:r>
        <w:t xml:space="preserve">be mindful not to act contrary to what has been revealed in the divine verses in this mighty, eternal Manifestation, for whatever the True One, exalted is His station, has decreed is indeed what is best for the servants.</w:t>
      </w:r>
      <w:r>
        <w:t xml:space="preserve">”</w:t>
      </w:r>
      <w:r>
        <w:t xml:space="preserve"> </w:t>
      </w:r>
      <w:r>
        <w:t xml:space="preserve">He includes another restriction. Religious practices should follow what God has revealed in His Book.</w:t>
      </w:r>
    </w:p>
    <w:p>
      <w:pPr>
        <w:pStyle w:val="BodyText"/>
      </w:pPr>
      <w:r>
        <w:t xml:space="preserve">He says in the same tablet that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865"/>
      </w:r>
      <w:r>
        <w:t xml:space="preserve"> </w:t>
      </w:r>
      <w:r>
        <w:t xml:space="preserve">The next sections will discuss five separate authorities derived from the Tablet of the House of Justice, the four roles of the Houses of Justice in fulfilling what they have been authorized to do, and the progressive nature of these authorities.</w:t>
      </w:r>
    </w:p>
    <w:bookmarkStart w:id="868" w:name="X2dbb78bba275188b1235edda7054c1131539f8b"/>
    <w:p>
      <w:pPr>
        <w:pStyle w:val="Heading3"/>
      </w:pPr>
      <w:r>
        <w:t xml:space="preserve">22.3.1 Authority #1: The Propagation of the Cause of God</w:t>
      </w:r>
    </w:p>
    <w:p>
      <w:pPr>
        <w:pStyle w:val="FirstParagraph"/>
      </w:pPr>
      <w:r>
        <w:t xml:space="preserve">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the refinement within our personal lives.</w:t>
      </w:r>
    </w:p>
    <w:p>
      <w:pPr>
        <w:pStyle w:val="BodyText"/>
      </w:pPr>
      <w:r>
        <w:t xml:space="preserve">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pPr>
        <w:pStyle w:val="BodyText"/>
      </w:pPr>
      <w:r>
        <w:t xml:space="preserve">Role #1 Trustees of the Merciful: The foundation is for the trustees to consult on the welfare of others, just as they consult on their own.</w:t>
      </w:r>
      <w:r>
        <w:rPr>
          <w:rStyle w:val="FootnoteReference"/>
        </w:rPr>
        <w:footnoteReference w:id="866"/>
      </w:r>
      <w:r>
        <w:t xml:space="preserve"> </w:t>
      </w:r>
      <w:r>
        <w:t xml:space="preserve">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867"/>
      </w:r>
      <w:r>
        <w:t xml:space="preserve"> </w:t>
      </w:r>
      <w:r>
        <w:t xml:space="preserve">These charitable purposes can include support for elevated places of the Cause, such as the maintenance of the pilgrimage sites in Shíráz and Baghdád and Mashriqu’l-Adhkárs. The trustees elevate the Cause, but not themselves. Finally, these endowments could be used to safeguard Bahá’u’lláh’s Word, promote translation efforts, and publish Bahá’u’lláh’s Word.</w:t>
      </w:r>
    </w:p>
    <w:p>
      <w:pPr>
        <w:pStyle w:val="BodyText"/>
      </w:pPr>
      <w:r>
        <w:t xml:space="preserve">Role #2 Representatives of God: The foundation is to be an advocate on behalf of God, with full accountability for their actions and decisions. This would be the public-facing role. An example would be to share the nine Illuminations from the Tablet of Ishráqát to leaders and to organize or support the organization of public dialogue focused on the teachings of Bahá’u’lláh in a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pPr>
        <w:pStyle w:val="BodyText"/>
      </w:pPr>
      <w:r>
        <w:t xml:space="preserve">Role #3 Shepherds of the sheep of God: As shepherds, they help guide the community through consultation. They protect by ensuring the propagation does not bring harm, Bahá’u’lláh’s Word is not altered, and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it does require vigilance.</w:t>
      </w:r>
    </w:p>
    <w:p>
      <w:pPr>
        <w:pStyle w:val="BodyText"/>
      </w:pPr>
      <w:r>
        <w:t xml:space="preserve">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pPr>
        <w:pStyle w:val="BodyText"/>
      </w:pPr>
      <w:r>
        <w:t xml:space="preserve">There are many ways a House of Justice can consult on and help propagate the Cause of God. The most important aspect is that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co-trustees of one Cause, each guarding the other from injustice.</w:t>
      </w:r>
    </w:p>
    <w:p>
      <w:pPr>
        <w:pStyle w:val="BodyText"/>
      </w:pPr>
      <w:r>
        <w:rPr>
          <w:iCs/>
          <w:i/>
        </w:rPr>
        <w:t xml:space="preserve">Reflection: How can a community share the Cause in ways that invite conscience and love, while making it impossible for propagation to become pressure, branding, or conquest?</w:t>
      </w:r>
    </w:p>
    <w:p>
      <w:pPr>
        <w:pStyle w:val="BodyText"/>
      </w:pPr>
      <w:r>
        <w:t xml:space="preserve">When propagation has been successful to a degree the people are pleased with, the people may choose to consult on whether to give the House its second authority.</w:t>
      </w:r>
    </w:p>
    <w:bookmarkEnd w:id="868"/>
    <w:bookmarkStart w:id="869" w:name="authority-2-the-morals-of-souls"/>
    <w:p>
      <w:pPr>
        <w:pStyle w:val="Heading3"/>
      </w:pPr>
      <w:r>
        <w:t xml:space="preserve">22.3.2 Authority #2: The Morals of Souls</w:t>
      </w:r>
    </w:p>
    <w:p>
      <w:pPr>
        <w:pStyle w:val="FirstParagraph"/>
      </w:pPr>
      <w:r>
        <w:t xml:space="preserve">The second authority is the morals of souls. Where authority one was focused on illumination through propagation, the House of Justice will add refinement to its responsibilities. They will nurture virtue and conscience to assist the inner transformation of the individual and the transformation of the community.</w:t>
      </w:r>
    </w:p>
    <w:p>
      <w:pPr>
        <w:pStyle w:val="BodyText"/>
      </w:pPr>
      <w:r>
        <w:t xml:space="preserve">Role #1 Trustees of the Merciful: They view morality as a trust, but it is not imposed. The members of the House of Justice offer moral companionship. We should always be reminded that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on how to educate, mentor, and counsel youth, families, and adults of all ages. Voluntary programs might be established for moral education or for developing spiritual habits.</w:t>
      </w:r>
    </w:p>
    <w:p>
      <w:pPr>
        <w:pStyle w:val="BodyText"/>
      </w:pPr>
      <w:r>
        <w:t xml:space="preserve">Role #2 Representatives of God: The House members are the moral exemplars, embodying the morality of souls publicly. When they consult on a matter of ethics or morality, they not only may record their consultation, but may do so in a way which can be learned from by anyone who reads or watches. They may participate in local or civic dialogues on ethical or moral issues raised in public life, and do so humbly and gently. Through them, the public is aware that God is active.</w:t>
      </w:r>
    </w:p>
    <w:p>
      <w:pPr>
        <w:pStyle w:val="BodyText"/>
      </w:pPr>
      <w:r>
        <w:t xml:space="preserve">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pPr>
        <w:pStyle w:val="BodyText"/>
      </w:pPr>
      <w:r>
        <w:t xml:space="preserve">Role #4 Dawning places of His command: The House consults on ways to transform Bahá’u’lláh’s Word into the moral fabric of culture. Moral transformation is not viewed as austerity or deprivation, but as a radiant beauty to which all are attracted.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pPr>
        <w:pStyle w:val="BodyText"/>
      </w:pPr>
      <w:r>
        <w:rPr>
          <w:iCs/>
          <w:i/>
        </w:rPr>
        <w:t xml:space="preserve">Reflection: What practices help moral nurture stay voluntary and compassionate, so refinement strengthens dignity and joy rather than producing shame or surveillance?</w:t>
      </w:r>
    </w:p>
    <w:p>
      <w:pPr>
        <w:pStyle w:val="BodyText"/>
      </w:pPr>
      <w:r>
        <w:t xml:space="preserve">When the moral character of the community is sufficiently reflected in their deeds and well-being, the people may decide to consult on granting the House of Justice the third authority.</w:t>
      </w:r>
    </w:p>
    <w:bookmarkEnd w:id="869"/>
    <w:bookmarkStart w:id="870" w:name="authority-3-the-preservation-of-honor"/>
    <w:p>
      <w:pPr>
        <w:pStyle w:val="Heading3"/>
      </w:pPr>
      <w:r>
        <w:t xml:space="preserve">22.3.3 Authority #3: The Preservation of Honor</w:t>
      </w:r>
    </w:p>
    <w:p>
      <w:pPr>
        <w:pStyle w:val="FirstParagraph"/>
      </w:pPr>
      <w:r>
        <w:t xml:space="preserve">The third authority is the preservation of honor. From here, the House moves past refinement towards the protection of human dignity, the protection of a soul created noble. We take the authorities of propagation, which teach what the Cause of God is, and the authorities of refining morals, which transform the people who believe, and apply them towards social action.</w:t>
      </w:r>
    </w:p>
    <w:p>
      <w:pPr>
        <w:pStyle w:val="BodyText"/>
      </w:pPr>
      <w:r>
        <w:t xml:space="preserve">Preserving honor would be focused on taking steps and measures to protect the rights of all people, and to help heal those whose rights have been violated.</w:t>
      </w:r>
    </w:p>
    <w:p>
      <w:pPr>
        <w:pStyle w:val="BodyText"/>
      </w:pPr>
      <w:r>
        <w:t xml:space="preserve">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pPr>
        <w:pStyle w:val="BodyText"/>
      </w:pPr>
      <w:r>
        <w:t xml:space="preserve">Role #2 Representatives of God: The members of the House are the representatives of honor. They may choose to host or attend forums, media, and other public-facing outlets which emphasize the preservation of honor. The House may assist or sponsor those, whether or not they are believers, who are actively working to preserve honor and protect the rights of people.</w:t>
      </w:r>
    </w:p>
    <w:p>
      <w:pPr>
        <w:pStyle w:val="BodyText"/>
      </w:pPr>
      <w:r>
        <w:t xml:space="preserve">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that those whose rights are compromised are protected, counseled, and not subjected to further degradation.</w:t>
      </w:r>
    </w:p>
    <w:p>
      <w:pPr>
        <w:pStyle w:val="BodyText"/>
      </w:pPr>
      <w:r>
        <w:t xml:space="preserve">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informs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pPr>
        <w:pStyle w:val="BodyText"/>
      </w:pPr>
      <w:r>
        <w:rPr>
          <w:iCs/>
          <w:i/>
        </w:rPr>
        <w:t xml:space="preserve">Reflection: When honor is threatened, what does justice look like that heals the wounded and restrains the aggressor, without turning protection into vengeance or permanent stigma?</w:t>
      </w:r>
    </w:p>
    <w:p>
      <w:pPr>
        <w:pStyle w:val="BodyText"/>
      </w:pPr>
      <w:r>
        <w:t xml:space="preserve">When the honor of the people is increasingly and sufficiently preserved, the people may decide to consult on granting the House of Justice the fourth authority.</w:t>
      </w:r>
    </w:p>
    <w:bookmarkEnd w:id="870"/>
    <w:bookmarkStart w:id="871" w:name="authority-4-the-development-of-cities"/>
    <w:p>
      <w:pPr>
        <w:pStyle w:val="Heading3"/>
      </w:pPr>
      <w:r>
        <w:t xml:space="preserve">22.3.4 Authority #4: The Development of Cities</w:t>
      </w:r>
    </w:p>
    <w:p>
      <w:pPr>
        <w:pStyle w:val="FirstParagraph"/>
      </w:pPr>
      <w:r>
        <w:t xml:space="preserve">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to be treated with reverence and love. The purpose is to take the lands which were created by God and refine them so they reach a higher station towards perfection. This is not about achieving perfection, but about the constant striving towards it.</w:t>
      </w:r>
    </w:p>
    <w:p>
      <w:pPr>
        <w:pStyle w:val="BodyText"/>
      </w:pPr>
      <w:r>
        <w:t xml:space="preserve">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able to ensure development also preserves and enhances honor.</w:t>
      </w:r>
    </w:p>
    <w:p>
      <w:pPr>
        <w:pStyle w:val="BodyText"/>
      </w:pPr>
      <w:r>
        <w:t xml:space="preserve">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and nonprofit organizations. The Houses could create or support organizations and individuals who are active in these roles.</w:t>
      </w:r>
    </w:p>
    <w:p>
      <w:pPr>
        <w:pStyle w:val="BodyText"/>
      </w:pPr>
      <w:r>
        <w:t xml:space="preserve">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pPr>
        <w:pStyle w:val="BodyText"/>
      </w:pPr>
      <w:r>
        <w:t xml:space="preserve">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a set of pathways of unity. A city will have multiple voices and organizations working towards various causes and goals. The House of Justice can encourage their support, refinement, and utilize resources to fill in any potential needs that are underserved. All of this is to ensure all within the city have access to the resources and opportunities required to support their rights and responsibilities to each other.</w:t>
      </w:r>
    </w:p>
    <w:p>
      <w:pPr>
        <w:pStyle w:val="BodyText"/>
      </w:pPr>
      <w:r>
        <w:t xml:space="preserve">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pPr>
        <w:pStyle w:val="BodyText"/>
      </w:pPr>
      <w:r>
        <w:rPr>
          <w:iCs/>
          <w:i/>
        </w:rPr>
        <w:t xml:space="preserve">Reflection: As a city develops materially, what safeguards ensure prosperity remains a servant of the soul, so planning and infrastructure deepen unity and protect the vulnerable instead of rewarding power?</w:t>
      </w:r>
    </w:p>
    <w:p>
      <w:pPr>
        <w:pStyle w:val="BodyText"/>
      </w:pPr>
      <w:r>
        <w:t xml:space="preserve">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bookmarkEnd w:id="871"/>
    <w:bookmarkStart w:id="872" w:name="X927081028444208c9ee5a7b90264f20f6431a31"/>
    <w:p>
      <w:pPr>
        <w:pStyle w:val="Heading3"/>
      </w:pPr>
      <w:r>
        <w:t xml:space="preserve">22.3.5 Authority #5: The Governance For the Lands and Protection For the Servants</w:t>
      </w:r>
    </w:p>
    <w:p>
      <w:pPr>
        <w:pStyle w:val="FirstParagraph"/>
      </w:pPr>
      <w:r>
        <w:t xml:space="preserve">This is the final authority which can be granted to the House of Justice. There are two authorities intertwined here, and they serve each other. They are the governance for the lands and the protection for the 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it has been granted the final tools to continue the development of cities, the preservation of honor, the refinement of morals, and the propagation of the Cause.</w:t>
      </w:r>
    </w:p>
    <w:p>
      <w:pPr>
        <w:pStyle w:val="BodyText"/>
      </w:pPr>
      <w:r>
        <w:t xml:space="preserve">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also ensure that legislation is enacted which protects the people’s rights, that the laws are enforced fairly, and that any judgments reflect the principles of consultation Bahá’u’lláh taught us. Once again, consultation is the foundation of trusteeship and when done correctly, is guided by the Holy Spirit from God.</w:t>
      </w:r>
    </w:p>
    <w:p>
      <w:pPr>
        <w:pStyle w:val="BodyText"/>
      </w:pPr>
      <w:r>
        <w:t xml:space="preserve">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everything done by those who work for them, must constantly remember that they are to act as representatives of God. Their leadership nurtures a culture which better reflects those names and attributes more than it did prior to the House of Justice being created.</w:t>
      </w:r>
    </w:p>
    <w:p>
      <w:pPr>
        <w:pStyle w:val="BodyText"/>
      </w:pPr>
      <w:r>
        <w:t xml:space="preserve">Role #3 Shepherds of the sheep of God: The House is responsible for all aspects of the nurturing and protection of all people in their cities. The protective measures of the Cause of God, such as those expressed in Chapter 18, are the foundation of the House’s role as shepherds. There is a delicate balance in being able to identify threats to one’s safety, protect people from them, while also ensuring the rights of all are also fully guaranteed. This may require continued educational efforts which promote healthy private and social habits as much as it does legislative or criminal justice system actions.</w:t>
      </w:r>
    </w:p>
    <w:p>
      <w:pPr>
        <w:pStyle w:val="BodyText"/>
      </w:pPr>
      <w:r>
        <w:t xml:space="preserve">Role #4 Dawning places of His command: This final role, in my opinion, is the pinnacle of the entire revelation of God through Bahá’u’lláh. Every law revealed in the Kitáb-i-Aqdas is in effect. The implementation of this divine law is not only a dawning place of His command, but also the dawning place of a new era for the city, and potentially for humankind.</w:t>
      </w:r>
    </w:p>
    <w:p>
      <w:pPr>
        <w:pStyle w:val="BodyText"/>
      </w:pPr>
      <w:r>
        <w:rPr>
          <w:iCs/>
          <w:i/>
        </w:rPr>
        <w:t xml:space="preserve">Reflection: If governance is granted, what permanent limits, transparency, and accountability keep law and protection rooted in consultation and trust, so authority never becomes self-preserving or coercive?</w:t>
      </w:r>
    </w:p>
    <w:p>
      <w:pPr>
        <w:pStyle w:val="BodyText"/>
      </w:pPr>
      <w:r>
        <w:t xml:space="preserve">With those limits in mind, the next section clarifies what the text explicitly refuses to authorize.</w:t>
      </w:r>
    </w:p>
    <w:bookmarkEnd w:id="872"/>
    <w:bookmarkEnd w:id="873"/>
    <w:bookmarkStart w:id="874" w:name="what-is-not-mentioned"/>
    <w:p>
      <w:pPr>
        <w:pStyle w:val="Heading2"/>
      </w:pPr>
      <w:r>
        <w:t xml:space="preserve">22.4 What is Not Mentioned</w:t>
      </w:r>
    </w:p>
    <w:p>
      <w:pPr>
        <w:pStyle w:val="FirstParagraph"/>
      </w:pPr>
      <w:r>
        <w:t xml:space="preserve">Bahá’u’lláh is quite clear in expressing what rights, responsibilities, and authorities people have in various aspects of life. This is true for those who serve in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Bahá’u’lláh. My perspective is that the House is only granted the authorities given to it, first as outlined by God and later as permitted by the people. These are two exceptionally strong guardrails, if honored.</w:t>
      </w:r>
    </w:p>
    <w:p>
      <w:pPr>
        <w:pStyle w:val="BodyText"/>
      </w:pPr>
      <w:r>
        <w:t xml:space="preserve">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pPr>
        <w:pStyle w:val="BodyText"/>
      </w:pPr>
      <w:r>
        <w:t xml:space="preserve">Given they have no role in religious practice, when the members of the House of Justice propagate the Cause of God, they also have no authority in interpretation, translation, or other aspects of the unveiling and understanding of Bahá’u’lláh’s writings. Their authority is in propagation, as described earlier.</w:t>
      </w:r>
    </w:p>
    <w:p>
      <w:pPr>
        <w:pStyle w:val="BodyText"/>
      </w:pPr>
      <w:r>
        <w:t xml:space="preserve">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pPr>
        <w:pStyle w:val="BodyText"/>
      </w:pPr>
      <w:r>
        <w:rPr>
          <w:iCs/>
          <w:i/>
        </w:rPr>
        <w:t xml:space="preserve">Reflection: When a community names what an institution cannot do, how does that protect conscience and dignity for everyone?</w:t>
      </w:r>
    </w:p>
    <w:p>
      <w:pPr>
        <w:pStyle w:val="BodyText"/>
      </w:pPr>
      <w:r>
        <w:t xml:space="preserve">That boundary setting prepares us to consider how authority can scale without becoming centralized domination.</w:t>
      </w:r>
    </w:p>
    <w:bookmarkEnd w:id="874"/>
    <w:bookmarkStart w:id="881" w:name="scope-of-authority-beyond-the-cities"/>
    <w:p>
      <w:pPr>
        <w:pStyle w:val="Heading2"/>
      </w:pPr>
      <w:r>
        <w:t xml:space="preserve">22.5 Scope of Authority Beyond the Cities</w:t>
      </w:r>
    </w:p>
    <w:p>
      <w:pPr>
        <w:pStyle w:val="FirstParagraph"/>
      </w:pPr>
      <w:r>
        <w:t xml:space="preserve">Bahá’u’lláh says</w:t>
      </w:r>
      <w:r>
        <w:t xml:space="preserve"> </w:t>
      </w:r>
      <w:r>
        <w:t xml:space="preserve">“</w:t>
      </w:r>
      <w:r>
        <w:t xml:space="preserve">all matters of State should be referred to the House of Justice.</w:t>
      </w:r>
      <w:r>
        <w:t xml:space="preserve">”</w:t>
      </w:r>
      <w:r>
        <w:rPr>
          <w:rStyle w:val="FootnoteReference"/>
        </w:rPr>
        <w:footnoteReference w:id="875"/>
      </w:r>
      <w:r>
        <w:t xml:space="preserve"> </w:t>
      </w:r>
      <w:r>
        <w:t xml:space="preserve">He also says</w:t>
      </w:r>
      <w:r>
        <w:t xml:space="preserve"> </w:t>
      </w:r>
      <w:r>
        <w:t xml:space="preserve">“</w:t>
      </w:r>
      <w:r>
        <w:t xml:space="preserve">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r>
        <w:t xml:space="preserve">”</w:t>
      </w:r>
    </w:p>
    <w:bookmarkStart w:id="876" w:name="state-level"/>
    <w:p>
      <w:pPr>
        <w:pStyle w:val="Heading3"/>
      </w:pPr>
      <w:r>
        <w:t xml:space="preserve">22.5.1 State Level</w:t>
      </w:r>
    </w:p>
    <w:p>
      <w:pPr>
        <w:pStyle w:val="FirstParagraph"/>
      </w:pPr>
      <w:r>
        <w:t xml:space="preserve">A House of Justice can be established which has the authority over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pPr>
        <w:pStyle w:val="BodyText"/>
      </w:pPr>
      <w:r>
        <w:t xml:space="preserve">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pPr>
        <w:pStyle w:val="BodyText"/>
      </w:pPr>
      <w:r>
        <w:t xml:space="preserve">A singular city that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pPr>
        <w:pStyle w:val="BodyText"/>
      </w:pPr>
      <w:r>
        <w:t xml:space="preserve">The only way to bypass this is if a monarch creates a new republican monarchy with a House of Justice established within the new government. This scenario will be covered more in the next chapter.</w:t>
      </w:r>
    </w:p>
    <w:bookmarkEnd w:id="876"/>
    <w:bookmarkStart w:id="880" w:name="worldwide"/>
    <w:p>
      <w:pPr>
        <w:pStyle w:val="Heading3"/>
      </w:pPr>
      <w:r>
        <w:t xml:space="preserve">22.5.2 Worldwide</w:t>
      </w:r>
    </w:p>
    <w:p>
      <w:pPr>
        <w:pStyle w:val="FirstParagraph"/>
      </w:pPr>
      <w:r>
        <w:t xml:space="preserve">Bahá’u’lláh also teaches the trustees of the House of Justice to adopt one language, or create one, and choose one script, so that the children of the world may appear in one homeland.</w:t>
      </w:r>
      <w:r>
        <w:rPr>
          <w:rStyle w:val="FootnoteReference"/>
        </w:rPr>
        <w:footnoteReference w:id="877"/>
      </w:r>
      <w:r>
        <w:t xml:space="preserve"> </w:t>
      </w:r>
      <w:r>
        <w:t xml:space="preserve">This is a foundation in loving the world instead of having pride in one’s homeland. He adds that the ministers of the House of Justice must implement the Most Great Peace.</w:t>
      </w:r>
      <w:r>
        <w:rPr>
          <w:rStyle w:val="FootnoteReference"/>
        </w:rPr>
        <w:footnoteReference w:id="878"/>
      </w:r>
      <w:r>
        <w:t xml:space="preserve"> </w:t>
      </w:r>
      <w:r>
        <w:t xml:space="preserve">The Most Great Peace is the unification of the world’s parties or the unification of the world’s religion.</w:t>
      </w:r>
      <w:r>
        <w:rPr>
          <w:rStyle w:val="FootnoteReference"/>
        </w:rPr>
        <w:footnoteReference w:id="879"/>
      </w:r>
      <w:r>
        <w:t xml:space="preserve"> </w:t>
      </w:r>
      <w:r>
        <w:t xml:space="preserve">This would fall under Authority #1.</w:t>
      </w:r>
    </w:p>
    <w:p>
      <w:pPr>
        <w:pStyle w:val="BodyText"/>
      </w:pPr>
      <w:r>
        <w:t xml:space="preserve">These two authorities are universal in nature. There are two ways for this to be achieved, or a hybrid of the two ways. The first could be for the Houses of Justice established throughout the lands to consult together as one institution called the House of Justice. The second could be for a worldwide House of Justice to be established with only these two authorities. This would be for the people to decide in due time. I believe either would be viable and effective.</w:t>
      </w:r>
    </w:p>
    <w:p>
      <w:pPr>
        <w:pStyle w:val="BodyText"/>
      </w:pPr>
      <w:r>
        <w:t xml:space="preserve">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this end,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pPr>
        <w:pStyle w:val="BodyText"/>
      </w:pPr>
      <w:r>
        <w:t xml:space="preserve">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that their people recognize there is one God who has guided each of them. This pathway would indirectly lead people towards Bahá’u’lláh. Another pathway could simply be for the leaders of the world’s religions to consult together and determine that all people should live in peace together. All three of these pathways could be independent of each other or be closely linked, depending on the result of the House’s consultations.</w:t>
      </w:r>
    </w:p>
    <w:p>
      <w:pPr>
        <w:pStyle w:val="BodyText"/>
      </w:pPr>
      <w:r>
        <w:t xml:space="preserve">If there did end up being a Most Great Peace established, it could also be that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pPr>
        <w:pStyle w:val="BodyText"/>
      </w:pPr>
      <w:r>
        <w:rPr>
          <w:iCs/>
          <w:i/>
        </w:rPr>
        <w:t xml:space="preserve">Reflection: How does a vision of worldwide unity stay grounded in local consent, humility, and earned trust?</w:t>
      </w:r>
    </w:p>
    <w:p>
      <w:pPr>
        <w:pStyle w:val="BodyText"/>
      </w:pPr>
      <w:r>
        <w:t xml:space="preserve">That grounding becomes clearer in the closing section, where the chapter’s thread is gathered and the next chapter is introduced.</w:t>
      </w:r>
    </w:p>
    <w:bookmarkEnd w:id="880"/>
    <w:bookmarkEnd w:id="881"/>
    <w:bookmarkStart w:id="882" w:name="the-rest-of-part-4"/>
    <w:p>
      <w:pPr>
        <w:pStyle w:val="Heading2"/>
      </w:pPr>
      <w:r>
        <w:t xml:space="preserve">22.6 The Rest of Part 4</w:t>
      </w:r>
    </w:p>
    <w:p>
      <w:pPr>
        <w:pStyle w:val="FirstParagraph"/>
      </w:pPr>
      <w:r>
        <w:t xml:space="preserve">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w:t>
      </w:r>
    </w:p>
    <w:p>
      <w:pPr>
        <w:pStyle w:val="BodyText"/>
      </w:pPr>
      <w:r>
        <w:t xml:space="preserve">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w:t>
      </w:r>
    </w:p>
    <w:p>
      <w:pPr>
        <w:pStyle w:val="BodyText"/>
      </w:pPr>
      <w:r>
        <w:t xml:space="preserve">This is not coincidence. It is the same pattern Bahá’u’lláh embedded everywhere. From One comes many, and from many, if the work is done faithfully, comes the Most Great Peace. True liberation was never only personal. It was also beyond the person.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 These teachings make up a large part of the Kitáb-i-Aqdas and many of His unsolicited teachings.</w:t>
      </w:r>
    </w:p>
    <w:p>
      <w:r>
        <w:br w:type="page"/>
      </w:r>
    </w:p>
    <w:bookmarkEnd w:id="882"/>
    <w:bookmarkEnd w:id="883"/>
    <w:bookmarkStart w:id="947" w:name="political-leadership"/>
    <w:p>
      <w:pPr>
        <w:pStyle w:val="Heading1"/>
      </w:pPr>
      <w:r>
        <w:t xml:space="preserve">23. Political Leadership</w:t>
      </w:r>
    </w:p>
    <w:bookmarkStart w:id="885" w:name="introduction-5"/>
    <w:p>
      <w:pPr>
        <w:pStyle w:val="Heading2"/>
      </w:pPr>
      <w:r>
        <w:t xml:space="preserve">23.1 Introduction</w:t>
      </w:r>
    </w:p>
    <w:p>
      <w:pPr>
        <w:pStyle w:val="FirstParagraph"/>
      </w:pPr>
      <w:r>
        <w:t xml:space="preserve">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w:t>
      </w:r>
      <w:r>
        <w:t xml:space="preserve"> </w:t>
      </w:r>
      <w:r>
        <w:t xml:space="preserve">“</w:t>
      </w:r>
      <w:r>
        <w:t xml:space="preserve">Now, what seems good in the British nation’s constitution, which is adorned with both the light of sovereignty and the consultation of the nation, … but the matter that is a cause of preservation and prohibition in both the outer and inner aspects is the fear of God.</w:t>
      </w:r>
      <w:r>
        <w:t xml:space="preserve">”</w:t>
      </w:r>
      <w:r>
        <w:rPr>
          <w:rStyle w:val="FootnoteReference"/>
        </w:rPr>
        <w:footnoteReference w:id="884"/>
      </w:r>
    </w:p>
    <w:p>
      <w:pPr>
        <w:pStyle w:val="BodyText"/>
      </w:pPr>
      <w:r>
        <w:t xml:space="preserve">The Epistle to the Son of the Wolf provides a great example of Bahá’u’lláh’s vision. In addressing a Shaykh who serves the Ottoman Sultan, He offers this short sermon:</w:t>
      </w:r>
    </w:p>
    <w:p>
      <w:pPr>
        <w:pStyle w:val="BlockText"/>
      </w:pPr>
      <w:r>
        <w:t xml:space="preserve">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pPr>
        <w:pStyle w:val="BlockText"/>
      </w:pPr>
      <w:r>
        <w:t xml:space="preserve">In the presence of the Spirit (Jesus), it was asked:</w:t>
      </w:r>
      <w:r>
        <w:t xml:space="preserve"> </w:t>
      </w:r>
      <w:r>
        <w:t xml:space="preserve">“</w:t>
      </w:r>
      <w:r>
        <w:t xml:space="preserve">O Spirit of God, is it lawful to give tribute to Caesar or not?</w:t>
      </w:r>
      <w:r>
        <w:t xml:space="preserve">”</w:t>
      </w:r>
      <w:r>
        <w:t xml:space="preserve"> </w:t>
      </w:r>
      <w:r>
        <w:t xml:space="preserve">He said:</w:t>
      </w:r>
      <w:r>
        <w:t xml:space="preserve"> </w:t>
      </w:r>
      <w:r>
        <w:t xml:space="preserve">“</w:t>
      </w:r>
      <w:r>
        <w:t xml:space="preserve">Yes, render unto Caesar what is Caesar’s and unto God what is God’s.</w:t>
      </w:r>
      <w:r>
        <w:t xml:space="preserve">”</w:t>
      </w:r>
      <w:r>
        <w:t xml:space="preserve"> </w:t>
      </w:r>
      <w:r>
        <w:t xml:space="preserve">He did not forbid it, and these two words are one to those who perceive, for what is Caesar’s would not be lawful if it were not from God. Likewise, in the blessed verse:</w:t>
      </w:r>
      <w:r>
        <w:t xml:space="preserve"> </w:t>
      </w:r>
      <w:r>
        <w:t xml:space="preserve">“</w:t>
      </w:r>
      <w:r>
        <w:t xml:space="preserve">Obey God and obey the Messenger and those in authority among you.</w:t>
      </w:r>
      <w:r>
        <w:t xml:space="preserve">”</w:t>
      </w:r>
      <w:r>
        <w:t xml:space="preserve"> </w:t>
      </w:r>
      <w:r>
        <w:t xml:space="preserve">The primary and foremost meaning of</w:t>
      </w:r>
      <w:r>
        <w:t xml:space="preserve"> </w:t>
      </w:r>
      <w:r>
        <w:t xml:space="preserve">“</w:t>
      </w:r>
      <w:r>
        <w:t xml:space="preserve">those in authority</w:t>
      </w:r>
      <w:r>
        <w:t xml:space="preserve">”</w:t>
      </w:r>
      <w:r>
        <w:t xml:space="preserve"> </w:t>
      </w:r>
      <w:r>
        <w:t xml:space="preserve">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pPr>
        <w:pStyle w:val="FirstParagraph"/>
      </w:pPr>
      <w:r>
        <w:t xml:space="preserve">This derived authority is not a gift to the monarch’s ego, but a high-stakes stewardship. If a king is the</w:t>
      </w:r>
      <w:r>
        <w:t xml:space="preserve"> </w:t>
      </w:r>
      <w:r>
        <w:t xml:space="preserve">‘</w:t>
      </w:r>
      <w:r>
        <w:t xml:space="preserve">shadow of God,</w:t>
      </w:r>
      <w:r>
        <w:t xml:space="preserve">’</w:t>
      </w:r>
      <w:r>
        <w:t xml:space="preserve"> </w:t>
      </w:r>
      <w:r>
        <w:t xml:space="preserve">then his actions must provide the same</w:t>
      </w:r>
      <w:r>
        <w:t xml:space="preserve"> </w:t>
      </w:r>
      <w:r>
        <w:t xml:space="preserve">‘</w:t>
      </w:r>
      <w:r>
        <w:t xml:space="preserve">shade,</w:t>
      </w:r>
      <w:r>
        <w:t xml:space="preserve">’</w:t>
      </w:r>
      <w:r>
        <w:t xml:space="preserve"> </w:t>
      </w:r>
      <w:r>
        <w:t xml:space="preserve">including protection, mercy, and justice, that God provides to all. When the shadow grows cold or oppressive, it ceases to reflect the Sun. This chapter will consider the derived authority from God that a monarch may express, how the government derives its authority from the monarch, their responsibilities, potential opportunities leaders had in Bahá’u’lláh’s time, and promises and prophecies God makes to certain lands and the people therein. As seen in Bahá’u’lláh quoting both Jesus Christ and Muḥammad, this has been a consistent teaching of God for thousands of years. Bahá’u’lláh gives us the framework to achieve this.</w:t>
      </w:r>
    </w:p>
    <w:p>
      <w:pPr>
        <w:pStyle w:val="BodyText"/>
      </w:pPr>
      <w:r>
        <w:rPr>
          <w:iCs/>
          <w:i/>
        </w:rPr>
        <w:t xml:space="preserve">Reflection: When political authority claims to be derived from God, what visible signs must prove that it protects the vulnerable rather than flattering the powerful?</w:t>
      </w:r>
    </w:p>
    <w:p>
      <w:pPr>
        <w:pStyle w:val="BodyText"/>
      </w:pPr>
      <w:r>
        <w:t xml:space="preserve">This question frames the opportunities given to rulers, and the costs of ignoring them.</w:t>
      </w:r>
    </w:p>
    <w:bookmarkEnd w:id="885"/>
    <w:bookmarkStart w:id="893" w:name="X7ec14f159f9b788c5d5203a4150e68fae46dac7"/>
    <w:p>
      <w:pPr>
        <w:pStyle w:val="Heading2"/>
      </w:pPr>
      <w:r>
        <w:t xml:space="preserve">23.2 Opportunities of Sovereign Leaders in Bahá’u’lláh’s Time</w:t>
      </w:r>
    </w:p>
    <w:p>
      <w:pPr>
        <w:pStyle w:val="FirstParagraph"/>
      </w:pPr>
      <w:r>
        <w:t xml:space="preserve">Bahá’u’lláh addressed several sovereign leaders and the opportunities presented to them, in the Kitáb-i-Aqdas and elsewhere. This section will briefly share some of these opportunities.</w:t>
      </w:r>
    </w:p>
    <w:bookmarkStart w:id="887" w:name="to-the-emperor-of-austria-franz-joseph-i"/>
    <w:p>
      <w:pPr>
        <w:pStyle w:val="Heading3"/>
      </w:pPr>
      <w:r>
        <w:t xml:space="preserve">23.2.1 To the Emperor of Austria (Franz Joseph I)</w:t>
      </w:r>
    </w:p>
    <w:p>
      <w:pPr>
        <w:pStyle w:val="FirstParagraph"/>
      </w:pPr>
      <w:r>
        <w:t xml:space="preserve">He visited al-Aqṣá Mosque in Jerusalem in Year 25 BE (1869) but did not enquire about Bahá’u’lláh, nor sense Him.</w:t>
      </w:r>
      <w:r>
        <w:rPr>
          <w:rStyle w:val="FootnoteReference"/>
        </w:rPr>
        <w:footnoteReference w:id="886"/>
      </w:r>
      <w:r>
        <w:t xml:space="preserve"> </w:t>
      </w:r>
      <w:r>
        <w:t xml:space="preserve">Bahá’u’lláh was with the Emperor in all conditions, but the Emperor was clinging to the branch while heedless of the root. Bahá’u’lláh invited the Emperor to recognize Him instead of clinging to a prior Branch. Emperor Franz Joseph I missed the opportunity to express his belief in Jesus Christ by recognizing Him in a new name. Franz was a well-respected sovereign and reigned for 68 years until his death in Year 72 BE (1916). The empire of Austria ended with his death, as an outcome of World War I, which started with his declaration of war against Serbia after the assassination of his heir.</w:t>
      </w:r>
    </w:p>
    <w:bookmarkEnd w:id="887"/>
    <w:bookmarkStart w:id="889" w:name="to-the-king-of-berlin-wilhelm-i"/>
    <w:p>
      <w:pPr>
        <w:pStyle w:val="Heading3"/>
      </w:pPr>
      <w:r>
        <w:t xml:space="preserve">23.2.2 To the King of Berlin (Wilhelm I)</w:t>
      </w:r>
    </w:p>
    <w:p>
      <w:pPr>
        <w:pStyle w:val="FirstParagraph"/>
      </w:pPr>
      <w:r>
        <w:t xml:space="preserve">The Second Reich of the German Empire was formed in Year 26 BE (1870), just 3 years prior to the revealing of the Kitáb-i-Aqdas. Bahá’u’lláh addresses Emperor Wilhelm I,</w:t>
      </w:r>
      <w:r>
        <w:rPr>
          <w:rStyle w:val="FootnoteReference"/>
        </w:rPr>
        <w:footnoteReference w:id="888"/>
      </w:r>
      <w:r>
        <w:t xml:space="preserve"> </w:t>
      </w:r>
      <w:r>
        <w:t xml:space="preserve">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bookmarkEnd w:id="889"/>
    <w:bookmarkStart w:id="890" w:name="regarding-napoleon-iii-of-france"/>
    <w:p>
      <w:pPr>
        <w:pStyle w:val="Heading3"/>
      </w:pPr>
      <w:r>
        <w:t xml:space="preserve">23.2.3 Regarding Napoleon III of France</w:t>
      </w:r>
    </w:p>
    <w:p>
      <w:pPr>
        <w:pStyle w:val="FirstParagraph"/>
      </w:pPr>
      <w:r>
        <w:t xml:space="preserve">When Bahá’u’lláh reminded Wilhelm I of the prior king, He was referencing a fulfilled prophecy to Napoleon III of France. In the Súríy-i-Haykal, Bahá’u’lláh addressed Pope Pius IX of Rome, Czar Alexander II of Russia, Queen Victoria of Great Britain, and Nāṣiri’d-Dín Sháh of Persia in addition to Napoleon III. Bahá’u’lláh in Year 24 BE (1868) told Napoleon III, after he claimed to fight against oppression:</w:t>
      </w:r>
    </w:p>
    <w:p>
      <w:pPr>
        <w:pStyle w:val="BlockText"/>
      </w:pPr>
      <w:r>
        <w:t xml:space="preserve">“</w:t>
      </w: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r>
        <w:t xml:space="preserve">”</w:t>
      </w:r>
    </w:p>
    <w:p>
      <w:pPr>
        <w:pStyle w:val="FirstParagraph"/>
      </w:pPr>
      <w:r>
        <w:t xml:space="preserve">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bookmarkEnd w:id="890"/>
    <w:bookmarkStart w:id="892" w:name="X7c44f43882707f29785768033f582fdea3acecb"/>
    <w:p>
      <w:pPr>
        <w:pStyle w:val="Heading3"/>
      </w:pPr>
      <w:r>
        <w:t xml:space="preserve">23.2.4 To the Kings and Presidents of the Americas</w:t>
      </w:r>
    </w:p>
    <w:p>
      <w:pPr>
        <w:pStyle w:val="FirstParagraph"/>
      </w:pPr>
      <w:r>
        <w:t xml:space="preserve">By Year 29 BE (1873), the western hemisphere had largely become composed of several new republics, starting with the United States of America in Year -68 BE (1776). There was one independent king, Pedro II of Brazil, although he was descended from Austria’s House of Habsburg. Europe also exercised colonial rule over many other lands.</w:t>
      </w:r>
    </w:p>
    <w:p>
      <w:pPr>
        <w:pStyle w:val="BodyText"/>
      </w:pPr>
      <w:r>
        <w:t xml:space="preserve">Bahá’u’lláh instructs the Kings and Presidents to adorn the temple of dominion with the raiment of justice and piety, and its head with the crown of the remembrance of your Lord.</w:t>
      </w:r>
      <w:r>
        <w:rPr>
          <w:rStyle w:val="FootnoteReference"/>
        </w:rPr>
        <w:footnoteReference w:id="891"/>
      </w:r>
      <w:r>
        <w:t xml:space="preserve"> </w:t>
      </w:r>
      <w:r>
        <w:t xml:space="preserve">Bahá’u’lláh did not promise the Americas would be the light of justice and piety, but it was their responsibility to do so.</w:t>
      </w:r>
    </w:p>
    <w:p>
      <w:pPr>
        <w:pStyle w:val="BodyText"/>
      </w:pPr>
      <w:r>
        <w:t xml:space="preserve">Appendix I offers a table outlining the leaders of the world in Year 29 BE (1873). The idea is to provide context for the Kitáb-i-Aqdas’s place in both time and space. Perhaps you may ask yourself, did these nations seize the opportunity or let the opportunity pass away? Do these opportunities still exist? As we see in the examples of the monarchs of Austria, Prussia, and France, empires will fall if they proclaim themselves to be</w:t>
      </w:r>
      <w:r>
        <w:t xml:space="preserve"> </w:t>
      </w:r>
      <w:r>
        <w:t xml:space="preserve">“</w:t>
      </w:r>
      <w:r>
        <w:t xml:space="preserve">the one.</w:t>
      </w:r>
      <w:r>
        <w:t xml:space="preserve">”</w:t>
      </w:r>
      <w:r>
        <w:t xml:space="preserve"> </w:t>
      </w:r>
      <w:r>
        <w:t xml:space="preserve">What happens when the mathematics change and we are recognized to be an integral fraction of the One?</w:t>
      </w:r>
    </w:p>
    <w:p>
      <w:pPr>
        <w:pStyle w:val="BodyText"/>
      </w:pPr>
      <w:r>
        <w:t xml:space="preserve">I believe that, where these opportunities were not acted on, these opportunities still exist. It is never too late to adorn the temple of dominion with the raiment of justice and piety.</w:t>
      </w:r>
    </w:p>
    <w:p>
      <w:pPr>
        <w:pStyle w:val="BodyText"/>
      </w:pPr>
      <w:r>
        <w:rPr>
          <w:iCs/>
          <w:i/>
        </w:rPr>
        <w:t xml:space="preserve">Reflection: If rulers are warned and invited by God, what responsibilities fall on nations and citizens when leaders refuse the invitation, or accept it only in words?</w:t>
      </w:r>
    </w:p>
    <w:p>
      <w:pPr>
        <w:pStyle w:val="BodyText"/>
      </w:pPr>
      <w:r>
        <w:t xml:space="preserve">This reflection leads into the shared foundations of leadership, because the monarch is not a different species of soul.</w:t>
      </w:r>
    </w:p>
    <w:bookmarkEnd w:id="892"/>
    <w:bookmarkEnd w:id="893"/>
    <w:bookmarkStart w:id="931" w:name="roles-and-responsibilities-of-monarchs"/>
    <w:p>
      <w:pPr>
        <w:pStyle w:val="Heading2"/>
      </w:pPr>
      <w:r>
        <w:t xml:space="preserve">23.3 Roles and Responsibilities of Monarchs</w:t>
      </w:r>
    </w:p>
    <w:bookmarkStart w:id="894" w:name="we-share-the-same-foundations"/>
    <w:p>
      <w:pPr>
        <w:pStyle w:val="Heading3"/>
      </w:pPr>
      <w:r>
        <w:t xml:space="preserve">23.3.1 We Share the Same Foundations</w:t>
      </w:r>
    </w:p>
    <w:p>
      <w:pPr>
        <w:pStyle w:val="FirstParagraph"/>
      </w:pPr>
      <w:r>
        <w:t xml:space="preserve">Monarchs have various roles and responsibilities derived from their position. Before we get into the roles and responsibilities unique to monarchs, let’s start from the beginning.</w:t>
      </w:r>
    </w:p>
    <w:p>
      <w:pPr>
        <w:pStyle w:val="BodyText"/>
      </w:pPr>
      <w:r>
        <w:t xml:space="preserve">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me and others we know. The monarch’s soul has opportunities to pass through the spiritual worlds, and to believe in God, their own soul, these spiritual worlds, the Day of Resurrection, the Command of God, and the Manifestations of God.</w:t>
      </w:r>
    </w:p>
    <w:p>
      <w:pPr>
        <w:pStyle w:val="BodyText"/>
      </w:pPr>
      <w:r>
        <w:t xml:space="preserve">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for this social life. Monarchs have affectionate relationships and have responsibilities towards those in their personal lives, including being trustees and participating in consultation. As you can see, for every aspect of their existence, we share the same foundations.</w:t>
      </w:r>
    </w:p>
    <w:bookmarkEnd w:id="894"/>
    <w:bookmarkStart w:id="929" w:name="beyond-shared-foundations"/>
    <w:p>
      <w:pPr>
        <w:pStyle w:val="Heading3"/>
      </w:pPr>
      <w:r>
        <w:t xml:space="preserve">23.3.2 Beyond Shared Foundations</w:t>
      </w:r>
    </w:p>
    <w:p>
      <w:pPr>
        <w:pStyle w:val="FirstParagraph"/>
      </w:pPr>
      <w:r>
        <w:t xml:space="preserve">The Kitáb-i-Aqdas and Súríy-i-Mulúk (The Tablet to the Kings) outline specific responsibilities monarchs have. This section will list these responsibilities:</w:t>
      </w:r>
    </w:p>
    <w:bookmarkStart w:id="902" w:name="spiritual-foundations-of-leadership"/>
    <w:p>
      <w:pPr>
        <w:pStyle w:val="Heading4"/>
      </w:pPr>
      <w:r>
        <w:t xml:space="preserve">23.3.2.1 Spiritual Foundations of Leadership</w:t>
      </w:r>
    </w:p>
    <w:p>
      <w:pPr>
        <w:numPr>
          <w:ilvl w:val="0"/>
          <w:numId w:val="1017"/>
        </w:numPr>
        <w:pStyle w:val="Compact"/>
      </w:pPr>
      <w:r>
        <w:t xml:space="preserve">Purify yourself from the wealth of the world, do not be preoccupied with wealth</w:t>
      </w:r>
      <w:r>
        <w:rPr>
          <w:rStyle w:val="FootnoteReference"/>
        </w:rPr>
        <w:footnoteReference w:id="895"/>
      </w:r>
    </w:p>
    <w:p>
      <w:pPr>
        <w:numPr>
          <w:ilvl w:val="0"/>
          <w:numId w:val="1017"/>
        </w:numPr>
        <w:pStyle w:val="Compact"/>
      </w:pPr>
      <w:r>
        <w:t xml:space="preserve">Take from the world only what is sufficient, leaving what is excessive</w:t>
      </w:r>
      <w:r>
        <w:rPr>
          <w:rStyle w:val="FootnoteReference"/>
        </w:rPr>
        <w:footnoteReference w:id="896"/>
      </w:r>
    </w:p>
    <w:p>
      <w:pPr>
        <w:numPr>
          <w:ilvl w:val="0"/>
          <w:numId w:val="1017"/>
        </w:numPr>
        <w:pStyle w:val="Compact"/>
      </w:pPr>
      <w:r>
        <w:t xml:space="preserve">Do not let the love of others enter your heart, let the love of God rule the heart so you may know Oneness</w:t>
      </w:r>
      <w:r>
        <w:rPr>
          <w:rStyle w:val="FootnoteReference"/>
        </w:rPr>
        <w:footnoteReference w:id="897"/>
      </w:r>
    </w:p>
    <w:p>
      <w:pPr>
        <w:numPr>
          <w:ilvl w:val="0"/>
          <w:numId w:val="1017"/>
        </w:numPr>
        <w:pStyle w:val="Compact"/>
      </w:pPr>
      <w:r>
        <w:t xml:space="preserve">Act as vassals of God and rise to serve the Purpose for which you were created</w:t>
      </w:r>
      <w:r>
        <w:rPr>
          <w:rStyle w:val="FootnoteReference"/>
        </w:rPr>
        <w:footnoteReference w:id="898"/>
      </w:r>
    </w:p>
    <w:p>
      <w:pPr>
        <w:numPr>
          <w:ilvl w:val="0"/>
          <w:numId w:val="1017"/>
        </w:numPr>
        <w:pStyle w:val="Compact"/>
      </w:pPr>
      <w:r>
        <w:t xml:space="preserve">You are the shadow of God on earth</w:t>
      </w:r>
      <w:r>
        <w:rPr>
          <w:rStyle w:val="FootnoteReference"/>
        </w:rPr>
        <w:footnoteReference w:id="899"/>
      </w:r>
    </w:p>
    <w:p>
      <w:pPr>
        <w:numPr>
          <w:ilvl w:val="0"/>
          <w:numId w:val="1017"/>
        </w:numPr>
        <w:pStyle w:val="Compact"/>
      </w:pPr>
      <w:r>
        <w:t xml:space="preserve">Leave your houses (which might refer to any dwelling places of monarchs, including palaces) and turn to the Kingdom of God</w:t>
      </w:r>
      <w:r>
        <w:rPr>
          <w:rStyle w:val="FootnoteReference"/>
        </w:rPr>
        <w:footnoteReference w:id="900"/>
      </w:r>
    </w:p>
    <w:p>
      <w:pPr>
        <w:numPr>
          <w:ilvl w:val="0"/>
          <w:numId w:val="1017"/>
        </w:numPr>
        <w:pStyle w:val="Compact"/>
      </w:pPr>
      <w:r>
        <w:t xml:space="preserve">Leave your laws and follow the law of God</w:t>
      </w:r>
      <w:r>
        <w:rPr>
          <w:rStyle w:val="FootnoteReference"/>
        </w:rPr>
        <w:footnoteReference w:id="901"/>
      </w:r>
    </w:p>
    <w:bookmarkEnd w:id="902"/>
    <w:bookmarkStart w:id="913" w:name="ethical-foundations-of-leadership"/>
    <w:p>
      <w:pPr>
        <w:pStyle w:val="Heading4"/>
      </w:pPr>
      <w:r>
        <w:t xml:space="preserve">23.3.2.2 Ethical Foundations of Leadership</w:t>
      </w:r>
    </w:p>
    <w:p>
      <w:pPr>
        <w:numPr>
          <w:ilvl w:val="0"/>
          <w:numId w:val="1018"/>
        </w:numPr>
        <w:pStyle w:val="Compact"/>
      </w:pPr>
      <w:r>
        <w:t xml:space="preserve">Do not wrong anyone</w:t>
      </w:r>
      <w:r>
        <w:rPr>
          <w:rStyle w:val="FootnoteReference"/>
        </w:rPr>
        <w:footnoteReference w:id="903"/>
      </w:r>
    </w:p>
    <w:p>
      <w:pPr>
        <w:numPr>
          <w:ilvl w:val="0"/>
          <w:numId w:val="1018"/>
        </w:numPr>
        <w:pStyle w:val="Compact"/>
      </w:pPr>
      <w:r>
        <w:t xml:space="preserve">Prevent oppressors from their oppression</w:t>
      </w:r>
      <w:r>
        <w:rPr>
          <w:rStyle w:val="FootnoteReference"/>
        </w:rPr>
        <w:footnoteReference w:id="904"/>
      </w:r>
    </w:p>
    <w:p>
      <w:pPr>
        <w:numPr>
          <w:ilvl w:val="0"/>
          <w:numId w:val="1018"/>
        </w:numPr>
        <w:pStyle w:val="Compact"/>
      </w:pPr>
      <w:r>
        <w:t xml:space="preserve">Secure the rights of the oppressed</w:t>
      </w:r>
      <w:r>
        <w:rPr>
          <w:rStyle w:val="FootnoteReference"/>
        </w:rPr>
        <w:footnoteReference w:id="905"/>
      </w:r>
    </w:p>
    <w:p>
      <w:pPr>
        <w:numPr>
          <w:ilvl w:val="0"/>
          <w:numId w:val="1018"/>
        </w:numPr>
        <w:pStyle w:val="Compact"/>
      </w:pPr>
      <w:r>
        <w:t xml:space="preserve">Examine the affairs of people before issuing judgments or punishments</w:t>
      </w:r>
      <w:r>
        <w:rPr>
          <w:rStyle w:val="FootnoteReference"/>
        </w:rPr>
        <w:footnoteReference w:id="906"/>
      </w:r>
    </w:p>
    <w:p>
      <w:pPr>
        <w:numPr>
          <w:ilvl w:val="0"/>
          <w:numId w:val="1018"/>
        </w:numPr>
        <w:pStyle w:val="Compact"/>
      </w:pPr>
      <w:r>
        <w:t xml:space="preserve">Do not punish those who do not disobey your laws</w:t>
      </w:r>
      <w:r>
        <w:rPr>
          <w:rStyle w:val="FootnoteReference"/>
        </w:rPr>
        <w:footnoteReference w:id="907"/>
      </w:r>
    </w:p>
    <w:p>
      <w:pPr>
        <w:numPr>
          <w:ilvl w:val="0"/>
          <w:numId w:val="1018"/>
        </w:numPr>
        <w:pStyle w:val="Compact"/>
      </w:pPr>
      <w:r>
        <w:t xml:space="preserve">Recompense the debts of those wrongfully punished</w:t>
      </w:r>
      <w:r>
        <w:rPr>
          <w:rStyle w:val="FootnoteReference"/>
        </w:rPr>
        <w:footnoteReference w:id="908"/>
      </w:r>
    </w:p>
    <w:p>
      <w:pPr>
        <w:numPr>
          <w:ilvl w:val="0"/>
          <w:numId w:val="1018"/>
        </w:numPr>
        <w:pStyle w:val="Compact"/>
      </w:pPr>
      <w:r>
        <w:t xml:space="preserve">Do not take people’s money unjustly (through bribes, blackmail, etc.)</w:t>
      </w:r>
      <w:r>
        <w:rPr>
          <w:rStyle w:val="FootnoteReference"/>
        </w:rPr>
        <w:footnoteReference w:id="909"/>
      </w:r>
    </w:p>
    <w:p>
      <w:pPr>
        <w:numPr>
          <w:ilvl w:val="0"/>
          <w:numId w:val="1018"/>
        </w:numPr>
        <w:pStyle w:val="Compact"/>
      </w:pPr>
      <w:r>
        <w:t xml:space="preserve">If a wicked person brings you news, verify it</w:t>
      </w:r>
      <w:r>
        <w:rPr>
          <w:rStyle w:val="FootnoteReference"/>
        </w:rPr>
        <w:footnoteReference w:id="910"/>
      </w:r>
    </w:p>
    <w:p>
      <w:pPr>
        <w:numPr>
          <w:ilvl w:val="0"/>
          <w:numId w:val="1018"/>
        </w:numPr>
        <w:pStyle w:val="Compact"/>
      </w:pPr>
      <w:r>
        <w:t xml:space="preserve">Beware of listening to words of malice and hypocrisy</w:t>
      </w:r>
      <w:r>
        <w:rPr>
          <w:rStyle w:val="FootnoteReference"/>
        </w:rPr>
        <w:footnoteReference w:id="911"/>
      </w:r>
    </w:p>
    <w:p>
      <w:pPr>
        <w:numPr>
          <w:ilvl w:val="0"/>
          <w:numId w:val="1018"/>
        </w:numPr>
        <w:pStyle w:val="Compact"/>
      </w:pPr>
      <w:r>
        <w:t xml:space="preserve">Do not impose upon others what you cannot bear yourselves</w:t>
      </w:r>
      <w:r>
        <w:rPr>
          <w:rStyle w:val="FootnoteReference"/>
        </w:rPr>
        <w:footnoteReference w:id="912"/>
      </w:r>
    </w:p>
    <w:bookmarkEnd w:id="913"/>
    <w:bookmarkStart w:id="918" w:name="economic-foundations-of-leadership"/>
    <w:p>
      <w:pPr>
        <w:pStyle w:val="Heading4"/>
      </w:pPr>
      <w:r>
        <w:t xml:space="preserve">23.3.2.3 Economic Foundations of Leadership</w:t>
      </w:r>
    </w:p>
    <w:p>
      <w:pPr>
        <w:numPr>
          <w:ilvl w:val="0"/>
          <w:numId w:val="1019"/>
        </w:numPr>
        <w:pStyle w:val="Compact"/>
      </w:pPr>
      <w:r>
        <w:t xml:space="preserve">Do not impose your expenses on your subjects beyond their capacity (do not overtax)</w:t>
      </w:r>
      <w:r>
        <w:rPr>
          <w:rStyle w:val="FootnoteReference"/>
        </w:rPr>
        <w:footnoteReference w:id="914"/>
      </w:r>
    </w:p>
    <w:p>
      <w:pPr>
        <w:numPr>
          <w:ilvl w:val="0"/>
          <w:numId w:val="1019"/>
        </w:numPr>
        <w:pStyle w:val="Compact"/>
      </w:pPr>
      <w:r>
        <w:t xml:space="preserve">Do not betray your trusteeship to the poor</w:t>
      </w:r>
      <w:r>
        <w:rPr>
          <w:rStyle w:val="FootnoteReference"/>
        </w:rPr>
        <w:footnoteReference w:id="915"/>
      </w:r>
    </w:p>
    <w:p>
      <w:pPr>
        <w:numPr>
          <w:ilvl w:val="0"/>
          <w:numId w:val="1019"/>
        </w:numPr>
        <w:pStyle w:val="Compact"/>
      </w:pPr>
      <w:r>
        <w:t xml:space="preserve">Spend on servants according to their need, not according to what they hoard or use for adornment, so that none are in need nor hoarding</w:t>
      </w:r>
      <w:r>
        <w:rPr>
          <w:rStyle w:val="FootnoteReference"/>
        </w:rPr>
        <w:footnoteReference w:id="916"/>
      </w:r>
    </w:p>
    <w:p>
      <w:pPr>
        <w:numPr>
          <w:ilvl w:val="0"/>
          <w:numId w:val="1019"/>
        </w:numPr>
        <w:pStyle w:val="Compact"/>
      </w:pPr>
      <w:r>
        <w:t xml:space="preserve">It is not fitting to have some in abundance and others in clear poverty and humiliation</w:t>
      </w:r>
      <w:r>
        <w:rPr>
          <w:rStyle w:val="FootnoteReference"/>
        </w:rPr>
        <w:footnoteReference w:id="917"/>
      </w:r>
    </w:p>
    <w:bookmarkEnd w:id="918"/>
    <w:bookmarkStart w:id="923" w:name="X958563855d42b76a0a0a4074ecac59651baa9be"/>
    <w:p>
      <w:pPr>
        <w:pStyle w:val="Heading4"/>
      </w:pPr>
      <w:r>
        <w:t xml:space="preserve">23.3.2.4 Safety and Security Foundations of Leadership</w:t>
      </w:r>
    </w:p>
    <w:p>
      <w:pPr>
        <w:numPr>
          <w:ilvl w:val="0"/>
          <w:numId w:val="1020"/>
        </w:numPr>
        <w:pStyle w:val="Compact"/>
      </w:pPr>
      <w:r>
        <w:t xml:space="preserve">Reduce your armies so that your expenses decrease</w:t>
      </w:r>
      <w:r>
        <w:rPr>
          <w:rStyle w:val="FootnoteReference"/>
        </w:rPr>
        <w:footnoteReference w:id="919"/>
      </w:r>
    </w:p>
    <w:p>
      <w:pPr>
        <w:numPr>
          <w:ilvl w:val="0"/>
          <w:numId w:val="1020"/>
        </w:numPr>
        <w:pStyle w:val="Compact"/>
      </w:pPr>
      <w:r>
        <w:t xml:space="preserve">Maintain an army to protect the lands and kingdoms</w:t>
      </w:r>
      <w:r>
        <w:rPr>
          <w:rStyle w:val="FootnoteReference"/>
        </w:rPr>
        <w:footnoteReference w:id="920"/>
      </w:r>
    </w:p>
    <w:p>
      <w:pPr>
        <w:numPr>
          <w:ilvl w:val="0"/>
          <w:numId w:val="1020"/>
        </w:numPr>
        <w:pStyle w:val="Compact"/>
      </w:pPr>
      <w:r>
        <w:t xml:space="preserve">Do not wrong those who have migrated to you and protect them</w:t>
      </w:r>
      <w:r>
        <w:rPr>
          <w:rStyle w:val="FootnoteReference"/>
        </w:rPr>
        <w:footnoteReference w:id="921"/>
      </w:r>
    </w:p>
    <w:p>
      <w:pPr>
        <w:numPr>
          <w:ilvl w:val="0"/>
          <w:numId w:val="1020"/>
        </w:numPr>
        <w:pStyle w:val="Compact"/>
      </w:pPr>
      <w:r>
        <w:t xml:space="preserve">Reconcile among yourselves (that is, sovereign leaders with sovereign leaders)</w:t>
      </w:r>
      <w:r>
        <w:rPr>
          <w:rStyle w:val="FootnoteReference"/>
        </w:rPr>
        <w:footnoteReference w:id="922"/>
      </w:r>
    </w:p>
    <w:bookmarkEnd w:id="923"/>
    <w:bookmarkStart w:id="928" w:name="Xda5a0e665a56185be3368296a178c29603483bb"/>
    <w:p>
      <w:pPr>
        <w:pStyle w:val="Heading4"/>
      </w:pPr>
      <w:r>
        <w:t xml:space="preserve">23.3.2.5 Bureaucratic Administrative Foundations of Leadership</w:t>
      </w:r>
    </w:p>
    <w:p>
      <w:pPr>
        <w:numPr>
          <w:ilvl w:val="0"/>
          <w:numId w:val="1021"/>
        </w:numPr>
        <w:pStyle w:val="Compact"/>
      </w:pPr>
      <w:r>
        <w:t xml:space="preserve">Respect scholars who act according to their knowledge, follow the limits set by God, and judge according to what God has decreed in His Book</w:t>
      </w:r>
      <w:r>
        <w:rPr>
          <w:rStyle w:val="FootnoteReference"/>
        </w:rPr>
        <w:footnoteReference w:id="924"/>
      </w:r>
    </w:p>
    <w:p>
      <w:pPr>
        <w:numPr>
          <w:ilvl w:val="0"/>
          <w:numId w:val="1021"/>
        </w:numPr>
        <w:pStyle w:val="Compact"/>
      </w:pPr>
      <w:r>
        <w:t xml:space="preserve">Do not gather around you agents who abandon their trusts and follow their desires</w:t>
      </w:r>
      <w:r>
        <w:rPr>
          <w:rStyle w:val="FootnoteReference"/>
        </w:rPr>
        <w:footnoteReference w:id="925"/>
      </w:r>
    </w:p>
    <w:p>
      <w:pPr>
        <w:numPr>
          <w:ilvl w:val="0"/>
          <w:numId w:val="1021"/>
        </w:numPr>
        <w:pStyle w:val="Compact"/>
      </w:pPr>
      <w:r>
        <w:t xml:space="preserve">Consult with agents who exude the scent of faith and justice</w:t>
      </w:r>
      <w:r>
        <w:rPr>
          <w:rStyle w:val="FootnoteReference"/>
        </w:rPr>
        <w:footnoteReference w:id="926"/>
      </w:r>
    </w:p>
    <w:p>
      <w:pPr>
        <w:numPr>
          <w:ilvl w:val="0"/>
          <w:numId w:val="1021"/>
        </w:numPr>
        <w:pStyle w:val="Compact"/>
      </w:pPr>
      <w:r>
        <w:t xml:space="preserve">Do not relinquish control of your affairs to others and do not become complacent</w:t>
      </w:r>
      <w:r>
        <w:rPr>
          <w:rStyle w:val="FootnoteReference"/>
        </w:rPr>
        <w:footnoteReference w:id="927"/>
      </w:r>
    </w:p>
    <w:bookmarkEnd w:id="928"/>
    <w:bookmarkEnd w:id="929"/>
    <w:bookmarkStart w:id="930" w:name="additional-rights-of-monarchs"/>
    <w:p>
      <w:pPr>
        <w:pStyle w:val="Heading3"/>
      </w:pPr>
      <w:r>
        <w:t xml:space="preserve">23.3.3 Additional Rights of Monarchs</w:t>
      </w:r>
    </w:p>
    <w:p>
      <w:pPr>
        <w:pStyle w:val="FirstParagraph"/>
      </w:pPr>
      <w:r>
        <w:t xml:space="preserve">Bahá’u’lláh did not outline any additional rights of monarchs. Once again, what is excluded is quite informative. Bahá’u’lláh does not say the monarch should be concerned about the protection of their government, but only about the citizens and lands. I would go as far as to say a government has no right to exist if it fails to operate under the shadow of God, where the rights of its citizens are not protected. This would not mean we destroy the government, but it does demonstrate that humankind has matured past the need for oppression to maintain order. Spiritually mature people can mature government from within by changing hearts.</w:t>
      </w:r>
    </w:p>
    <w:p>
      <w:pPr>
        <w:pStyle w:val="BodyText"/>
      </w:pPr>
      <w:r>
        <w:t xml:space="preserve">This is one example, and I invite you to consider what other traditional notions of governance are excluded from Bahá’u’lláh’s directives.</w:t>
      </w:r>
    </w:p>
    <w:p>
      <w:pPr>
        <w:pStyle w:val="BodyText"/>
      </w:pPr>
      <w:r>
        <w:rPr>
          <w:iCs/>
          <w:i/>
        </w:rPr>
        <w:t xml:space="preserve">Reflection: If monarchs gain no special rights, only amplified responsibilities, what does that imply about the moral purpose of government itself?</w:t>
      </w:r>
    </w:p>
    <w:p>
      <w:pPr>
        <w:pStyle w:val="BodyText"/>
      </w:pPr>
      <w:r>
        <w:t xml:space="preserve">With that frame, we can now read the addresses to lands as moral diagnostics, not merely historical commentary.</w:t>
      </w:r>
    </w:p>
    <w:bookmarkEnd w:id="930"/>
    <w:bookmarkEnd w:id="931"/>
    <w:bookmarkStart w:id="945" w:name="to-various-lands-and-cities"/>
    <w:p>
      <w:pPr>
        <w:pStyle w:val="Heading2"/>
      </w:pPr>
      <w:r>
        <w:t xml:space="preserve">23.4 To Various Lands and Cities</w:t>
      </w:r>
    </w:p>
    <w:p>
      <w:pPr>
        <w:pStyle w:val="FirstParagraph"/>
      </w:pPr>
      <w:r>
        <w:t xml:space="preserve">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bookmarkStart w:id="933" w:name="to-the-company-of-rome-byzantine-rome"/>
    <w:p>
      <w:pPr>
        <w:pStyle w:val="Heading3"/>
      </w:pPr>
      <w:r>
        <w:t xml:space="preserve">23.4.1 To the Company of Rome (Byzantine Rome)</w:t>
      </w:r>
    </w:p>
    <w:p>
      <w:pPr>
        <w:pStyle w:val="FirstParagraph"/>
      </w:pPr>
      <w:r>
        <w:t xml:space="preserve">Bahá’u’lláh hears the sound of the owl among them.</w:t>
      </w:r>
      <w:r>
        <w:rPr>
          <w:rStyle w:val="FootnoteReference"/>
        </w:rPr>
        <w:footnoteReference w:id="932"/>
      </w:r>
      <w:r>
        <w:t xml:space="preserve"> </w:t>
      </w:r>
      <w:r>
        <w:t xml:space="preserve">He asks,</w:t>
      </w:r>
      <w:r>
        <w:t xml:space="preserve"> </w:t>
      </w:r>
      <w:r>
        <w:t xml:space="preserve">“</w:t>
      </w:r>
      <w:r>
        <w:t xml:space="preserve">Has the intoxication of desire seized you, or are you among the heedless?</w:t>
      </w:r>
      <w:r>
        <w:t xml:space="preserve">”</w:t>
      </w:r>
      <w:r>
        <w:t xml:space="preserve"> </w:t>
      </w:r>
      <w:r>
        <w:t xml:space="preserve">In Year 29 BE (1873), the Eastern Orthodox Church was a semi-autonomous religious entity governed under the Rum millet within the Ottoman Empire. Istanbul at the time was about 50 percent Sunni Muslim (compared with over 90 percent today), with the Eastern Orthodox Christians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pPr>
        <w:pStyle w:val="BodyText"/>
      </w:pPr>
      <w:r>
        <w:t xml:space="preserve">When Bahá’u’lláh addresses the company of Rome, Bahá’u’lláh is directly referring to Orthodox Christians governed under the Rum millet, and to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pPr>
        <w:pStyle w:val="BlockText"/>
      </w:pPr>
      <w:r>
        <w:t xml:space="preserve">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pPr>
        <w:pStyle w:val="BlockText"/>
      </w:pPr>
      <w:r>
        <w:t xml:space="preserve">“</w:t>
      </w:r>
      <w:r>
        <w:t xml:space="preserve">The Lord looked down from his sanctuary on high, from heaven he viewed the earth, to hear the groans of the prisoners and release those condemned to death.</w:t>
      </w:r>
      <w:r>
        <w:t xml:space="preserve">”</w:t>
      </w:r>
    </w:p>
    <w:p>
      <w:pPr>
        <w:pStyle w:val="BlockText"/>
      </w:pPr>
      <w:r>
        <w:t xml:space="preserve">So the name of the Lord will be declared in Zion and his praise in Jerusalem when the peoples and the kingdoms assemble to worship the Lord. In the course of my life he broke my strength; he cut short my days. So I said:</w:t>
      </w:r>
    </w:p>
    <w:p>
      <w:pPr>
        <w:pStyle w:val="BlockText"/>
      </w:pPr>
      <w:r>
        <w:t xml:space="preserve">“</w:t>
      </w:r>
      <w:r>
        <w:t xml:space="preserve">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r>
        <w:t xml:space="preserve">”</w:t>
      </w:r>
    </w:p>
    <w:p>
      <w:pPr>
        <w:pStyle w:val="FirstParagraph"/>
      </w:pPr>
      <w:r>
        <w:t xml:space="preserve">The Eastern Orthodox Church suffered greatly in Istanbul and Anatolia not long after Year 29 BE (1873). Massacres of Armenian Christians in Year 50 BE (1894) and Year 65 BE (1909), the Armenian Genocide during World War I, and the aftermath of the Greco-Turkish war led to a decline from which the Church has never recovered in its historical homeland. These losses were tragic and painful and still form a painful scar for many in eastern Europe.</w:t>
      </w:r>
    </w:p>
    <w:bookmarkEnd w:id="933"/>
    <w:bookmarkStart w:id="934" w:name="Xc2be65f4f28713e41538b9aebde1c51d022aa3f"/>
    <w:p>
      <w:pPr>
        <w:pStyle w:val="Heading3"/>
      </w:pPr>
      <w:r>
        <w:t xml:space="preserve">23.4.2 To the Point on the Shore of Two Seas (Istanbul)</w:t>
      </w:r>
    </w:p>
    <w:p>
      <w:pPr>
        <w:pStyle w:val="FirstParagraph"/>
      </w:pPr>
      <w:r>
        <w:t xml:space="preserve">Bahá’u’lláh turns His attention to the point on the shore of the two seas, which is Istanbul. He says:</w:t>
      </w:r>
    </w:p>
    <w:p>
      <w:pPr>
        <w:pStyle w:val="BlockText"/>
      </w:pPr>
      <w:r>
        <w:t xml:space="preserve">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pPr>
        <w:pStyle w:val="FirstParagraph"/>
      </w:pPr>
      <w:r>
        <w:t xml:space="preserve">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bookmarkEnd w:id="934"/>
    <w:bookmarkStart w:id="936" w:name="to-the-banks-of-the-rhine-river"/>
    <w:p>
      <w:pPr>
        <w:pStyle w:val="Heading3"/>
      </w:pPr>
      <w:r>
        <w:t xml:space="preserve">23.4.3 To the Banks of the Rhine River</w:t>
      </w:r>
    </w:p>
    <w:p>
      <w:pPr>
        <w:pStyle w:val="FirstParagraph"/>
      </w:pPr>
      <w:r>
        <w:t xml:space="preserve">Bahá’u’lláh addresses the rising Second Reich of the German Empire, formed in Year 27 BE (1871) by the Prussian Wilhelm I. He says,</w:t>
      </w:r>
      <w:r>
        <w:t xml:space="preserve"> </w:t>
      </w:r>
      <w:r>
        <w:t xml:space="preserve">“</w:t>
      </w:r>
      <w:r>
        <w:t xml:space="preserve">We have seen you covered with blood, as the swords of retribution were drawn against you, and again you shall have it.</w:t>
      </w:r>
      <w:r>
        <w:t xml:space="preserve">”</w:t>
      </w:r>
      <w:r>
        <w:rPr>
          <w:rStyle w:val="FootnoteReference"/>
        </w:rPr>
        <w:footnoteReference w:id="935"/>
      </w:r>
      <w:r>
        <w:t xml:space="preserve"> </w:t>
      </w:r>
      <w:r>
        <w:t xml:space="preserve">The Franco-Prussian War was fought in Year 26 BE (1870), another of several wars between France and Prussia (later Germany), which started in the late 1790s. The Napoleonic Wars themselves had an estimated 4 to 6 million casualties, and many battles were fought along the Rhine River. These wars seemed to be a never-ending cycle of retribution.</w:t>
      </w:r>
    </w:p>
    <w:p>
      <w:pPr>
        <w:pStyle w:val="BodyText"/>
      </w:pPr>
      <w:r>
        <w:t xml:space="preserve">Bahá’u’lláh includes a prophecy stating that after Year 29 BE (1873), the Rhine River banks will again be covered with blood. The Battles of the Marne, Years 70 and 74 BE (1914 and 1918), and Verdun, Year 72 BE (1916), were fought during World War I. About 1.5 million casualties were reported in these three battles.</w:t>
      </w:r>
    </w:p>
    <w:bookmarkEnd w:id="936"/>
    <w:bookmarkStart w:id="937" w:name="the-lamentation-of-berlin"/>
    <w:p>
      <w:pPr>
        <w:pStyle w:val="Heading3"/>
      </w:pPr>
      <w:r>
        <w:t xml:space="preserve">23.4.4 The Lamentation of Berlin</w:t>
      </w:r>
    </w:p>
    <w:p>
      <w:pPr>
        <w:pStyle w:val="FirstParagraph"/>
      </w:pPr>
      <w:r>
        <w:t xml:space="preserve">Bahá’u’lláh then addresses Berlin, the capital of the German Empire.</w:t>
      </w:r>
      <w:r>
        <w:t xml:space="preserve"> </w:t>
      </w:r>
      <w:r>
        <w:t xml:space="preserve">“</w:t>
      </w:r>
      <w:r>
        <w:t xml:space="preserve">We hear the lamentation of Berlin, though she is now in manifest glory.</w:t>
      </w:r>
      <w:r>
        <w:t xml:space="preserve">”</w:t>
      </w:r>
      <w:r>
        <w:t xml:space="preserve"> </w:t>
      </w:r>
      <w:r>
        <w:t xml:space="preserve">Lamentation is an expression of deep sadness and regret, often due to a sense of wrongdoing. Berlin was the capital of the most industrialized, most modern, most militaristic, and potentially the most authoritarian government in Western Europe. The First Reich was known as the Holy Roman Empire, when Pope Leo III crowned Charlemagne as the first emperor of the symbolic Western Roman Empire in Year -1044 BE (800). This decentralized kingdom lasted until the Napoleonic Wars in Year -38 BE (1806), nearly a thousand years of rule between the Roman Catholic Church and Frankish (a German ethnic group) monarchs.</w:t>
      </w:r>
    </w:p>
    <w:p>
      <w:pPr>
        <w:pStyle w:val="BodyText"/>
      </w:pPr>
      <w:r>
        <w:t xml:space="preserve">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pPr>
        <w:pStyle w:val="BodyText"/>
      </w:pPr>
      <w:r>
        <w:t xml:space="preserve">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that mastered an expertise born of the sciences of the world, but abandoned the trusteeship of the soul. Power without the scent of faith inevitably turns into a sword of retribution.</w:t>
      </w:r>
    </w:p>
    <w:bookmarkEnd w:id="937"/>
    <w:bookmarkStart w:id="944" w:name="to-the-lands-within-persia"/>
    <w:p>
      <w:pPr>
        <w:pStyle w:val="Heading3"/>
      </w:pPr>
      <w:r>
        <w:t xml:space="preserve">23.4.5 To the Lands Within Persia</w:t>
      </w:r>
    </w:p>
    <w:p>
      <w:pPr>
        <w:pStyle w:val="FirstParagraph"/>
      </w:pPr>
      <w:r>
        <w:t xml:space="preserve">The next section addresses the people and lands of Persia, where Bahá’u’lláh was born, raised, imprisoned, and exiled from.</w:t>
      </w:r>
    </w:p>
    <w:bookmarkStart w:id="939" w:name="to-the-land-of-ṭā-ṭihrán"/>
    <w:p>
      <w:pPr>
        <w:pStyle w:val="Heading4"/>
      </w:pPr>
      <w:r>
        <w:t xml:space="preserve">23.4.5.1 To The Land of Ṭā (Ṭihrán)</w:t>
      </w:r>
    </w:p>
    <w:p>
      <w:pPr>
        <w:pStyle w:val="FirstParagraph"/>
      </w:pPr>
      <w:r>
        <w:t xml:space="preserve">Bahá’u’lláh describes Ṭihrán as the place where the Dawn of Manifestation was born</w:t>
      </w:r>
      <w:r>
        <w:rPr>
          <w:rStyle w:val="FootnoteReference"/>
        </w:rPr>
        <w:footnoteReference w:id="938"/>
      </w:r>
      <w:r>
        <w:t xml:space="preserve">, referencing the appearance of the Holy Maiden to Him in the Siyáh Chál prison of Ṭihrán in Year 8 BE (1852). Ṭihrán is the source of the world’s joy, so do not grieve over anything. He then offers two promises, one is conditional and the other is not.</w:t>
      </w:r>
    </w:p>
    <w:p>
      <w:pPr>
        <w:pStyle w:val="BodyText"/>
      </w:pPr>
      <w:r>
        <w:t xml:space="preserve">The conditional promise relies on whether God will it or not. This promise is that Ṭihrán will be blessed by a sovereign leader who will rule with justice and gather the scattered sheep, the believers, from the wolves. He will greet the people of Bahá, those who believe in Bahá’u’lláh, with joy and gladness.</w:t>
      </w:r>
    </w:p>
    <w:p>
      <w:pPr>
        <w:pStyle w:val="BodyText"/>
      </w:pPr>
      <w:r>
        <w:t xml:space="preserve">The unconditional promise has two parts. The first part is that the masses will pass judgment upon Ṭihrán, with things being overturned within Ṭihrán. Yet, when this happens, be at peace because the divine bounty will not cease from you. After this period, tranquility will follow the turmoil. This promise has been decreed by God.</w:t>
      </w:r>
    </w:p>
    <w:p>
      <w:pPr>
        <w:pStyle w:val="BodyText"/>
      </w:pPr>
      <w:r>
        <w:t xml:space="preserve">The unconditional promise does not require the conditional promise to be fulfilled. It is hard to pinpoint any moment as being the specific turmoil. There was the civil war of Year 64 to 66 BE (1908 to 1910), which ushered in a constitutional revolution, the American-backed coup in Year 109 BE (1953), which replaced the constitution with absolute monarchy, and then the Islamic Revolution of Year 135 BE (1979), which overthrew the monarchy with a constitutional theocracy based on Shí‘ah Islam. Each of these could be the turmoil depending on perspective, the entire period could be part of a greater turmoil, or maybe it has not happened yet. Depending on what you believe the turmoil is, it might inform what you believe the period of tranquility will be thereafter. No matter what, I do hope Ṭihrán can become illuminated by that light from the Dawn of Revelation.</w:t>
      </w:r>
    </w:p>
    <w:bookmarkEnd w:id="939"/>
    <w:bookmarkStart w:id="941" w:name="to-the-land-of-khá-khurásán"/>
    <w:p>
      <w:pPr>
        <w:pStyle w:val="Heading4"/>
      </w:pPr>
      <w:r>
        <w:t xml:space="preserve">23.4.5.2 To the Land of Khá (Khurásán)</w:t>
      </w:r>
    </w:p>
    <w:p>
      <w:pPr>
        <w:pStyle w:val="FirstParagraph"/>
      </w:pPr>
      <w:r>
        <w:t xml:space="preserve">Bahá’u’lláh says</w:t>
      </w:r>
      <w:r>
        <w:t xml:space="preserve"> </w:t>
      </w:r>
      <w:r>
        <w:t xml:space="preserve">“</w:t>
      </w:r>
      <w:r>
        <w:t xml:space="preserve">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t xml:space="preserve">”</w:t>
      </w:r>
      <w:r>
        <w:rPr>
          <w:rStyle w:val="FootnoteReference"/>
        </w:rPr>
        <w:footnoteReference w:id="940"/>
      </w:r>
    </w:p>
    <w:p>
      <w:pPr>
        <w:pStyle w:val="BodyText"/>
      </w:pPr>
      <w:r>
        <w:t xml:space="preserve">I have wondered if this could mean Khurásán as the current province of Iran, or the greater historical area of Khurásán, which includes modern cities such as Herat (Afghanistan), Bukhara (Uzbekistan), and Ashgabat (Turkmenistan). These areas were first included under the name Khurásán during the Zoroastrian Sasanian Empire in the 6th century. Where might a Kingdom begin which establishes the banners of the Names of God in His Most Glorious Name, Bahá’u’lláh?</w:t>
      </w:r>
    </w:p>
    <w:bookmarkEnd w:id="941"/>
    <w:bookmarkStart w:id="943" w:name="to-the-land-of-kāf-and-rā"/>
    <w:p>
      <w:pPr>
        <w:pStyle w:val="Heading4"/>
      </w:pPr>
      <w:r>
        <w:t xml:space="preserve">23.4.5.3 To the Land of Kāf and Rā</w:t>
      </w:r>
    </w:p>
    <w:p>
      <w:pPr>
        <w:pStyle w:val="FirstParagraph"/>
      </w:pPr>
      <w:r>
        <w:t xml:space="preserve">The final land from Persia mentioned by Bahá’u’lláh is the land of Kāf and Rā (Kirmán).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pPr>
        <w:pStyle w:val="BodyText"/>
      </w:pPr>
      <w:r>
        <w:t xml:space="preserve">One potential aspect of history to which this may allude is related to the husbands of two of Bahá’u’lláh’s nieces, the daughters of Mírzá Yaḥyá (Ṣubḥ-i-Azal). Mírzá Āqā Khán Kirmání and Shaykh Aḥmad Rúḥí were Azalí Bábís who were influential in the revolutionary movements in late nineteenth-century Persia. In Year 31 BE (1875), just 2 years after this paragraph was revealed by Bahá’u’lláh, they went to various cities of Persia and later to Constantinople to garner support for greater freedoms for Persians. In BH00116 dated 40 BE (1884), Baha’u’llah tells Muhammad-Taqi</w:t>
      </w:r>
      <w:r>
        <w:t xml:space="preserve"> </w:t>
      </w:r>
      <w:r>
        <w:t xml:space="preserve">“</w:t>
      </w:r>
      <w:r>
        <w:t xml:space="preserve">that which We foretold the servants in the Kaf and Ra hath come to pass. It behooveth every one who hath turned toward God to read what We have revealed in Our Most Holy Book.</w:t>
      </w:r>
      <w:r>
        <w:t xml:space="preserve">”</w:t>
      </w:r>
      <w:r>
        <w:t xml:space="preserve"> </w:t>
      </w:r>
      <w:r>
        <w:t xml:space="preserve">The tablet discusses the clamor raised by idolaters who acted against the text of the Primal Point.</w:t>
      </w:r>
    </w:p>
    <w:p>
      <w:pPr>
        <w:pStyle w:val="BodyText"/>
      </w:pPr>
      <w:r>
        <w:t xml:space="preserve">In Year 52 BE (1896), Nāṣiri’d-Dín Sháh was assassinated, and both Mírzá Āqā Khán Kirmání and Shaykh Aḥmad Rúḥí were beheaded. The followers of Bahá’u’lláh have long been associated with the assassination of the Sháh and other revolutionary movements in Persia, despite Kirmání and Rúḥí writing public treatises against Bahá’u’lláh. Bahá’u’lláh says</w:t>
      </w:r>
      <w:r>
        <w:t xml:space="preserve"> </w:t>
      </w:r>
      <w:r>
        <w:t xml:space="preserve">“</w:t>
      </w:r>
      <w:r>
        <w:t xml:space="preserve">no one should object to those who rule over the people</w:t>
      </w:r>
      <w:r>
        <w:t xml:space="preserve">”</w:t>
      </w:r>
      <w:r>
        <w:rPr>
          <w:rStyle w:val="FootnoteReference"/>
        </w:rPr>
        <w:footnoteReference w:id="942"/>
      </w:r>
      <w:r>
        <w:t xml:space="preserve"> </w:t>
      </w:r>
      <w:r>
        <w:t xml:space="preserve">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pPr>
        <w:pStyle w:val="BodyText"/>
      </w:pPr>
      <w:r>
        <w:rPr>
          <w:iCs/>
          <w:i/>
        </w:rPr>
        <w:t xml:space="preserve">Reflection: When prophecies and admonitions are addressed to lands, what does it mean for ordinary people to respond without becoming captive to revenge, despair, or political idolatry?</w:t>
      </w:r>
    </w:p>
    <w:p>
      <w:pPr>
        <w:pStyle w:val="BodyText"/>
      </w:pPr>
      <w:r>
        <w:t xml:space="preserve">This prepares the conclusion, where consent, trusteeship, and true liberation are tied together.</w:t>
      </w:r>
    </w:p>
    <w:bookmarkEnd w:id="943"/>
    <w:bookmarkEnd w:id="944"/>
    <w:bookmarkEnd w:id="945"/>
    <w:bookmarkStart w:id="946" w:name="conclusion-6"/>
    <w:p>
      <w:pPr>
        <w:pStyle w:val="Heading2"/>
      </w:pPr>
      <w:r>
        <w:t xml:space="preserve">23.5 Conclusion</w:t>
      </w:r>
    </w:p>
    <w:p>
      <w:pPr>
        <w:pStyle w:val="FirstParagraph"/>
      </w:pPr>
      <w:r>
        <w:t xml:space="preserve">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 in</w:t>
      </w:r>
      <w:r>
        <w:t xml:space="preserve"> </w:t>
      </w:r>
      <w:r>
        <w:t xml:space="preserve">“</w:t>
      </w:r>
      <w:r>
        <w:t xml:space="preserve">Two Treatises of Government,</w:t>
      </w:r>
      <w:r>
        <w:t xml:space="preserve">”</w:t>
      </w:r>
      <w:r>
        <w:t xml:space="preserve"> </w:t>
      </w:r>
      <w:r>
        <w:t xml:space="preserve">that political authority is based on the consent of the people. Do we consent to a world governed by unconstrained force, or do we consent to the discipline of the Law of God?</w:t>
      </w:r>
    </w:p>
    <w:p>
      <w:pPr>
        <w:pStyle w:val="BodyText"/>
      </w:pPr>
      <w:r>
        <w:t xml:space="preserve">In Bahá’u’lláh’s vision, our consent is expressed not through the ballot box alone, but through our willingness to act as trustees in our own spheres of influence. This is the bridge to the next chapter on Chapter 24. We realize common mechanisms of change are not true pathways. Revolution, rebellion, and even protest do not consistently ease suffering or cause progress without consequences.</w:t>
      </w:r>
    </w:p>
    <w:p>
      <w:pPr>
        <w:pStyle w:val="BodyText"/>
      </w:pPr>
      <w:r>
        <w:t xml:space="preserve">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how we reduce the suffering that we and the generations after us experience.</w:t>
      </w:r>
    </w:p>
    <w:p>
      <w:r>
        <w:br w:type="page"/>
      </w:r>
    </w:p>
    <w:bookmarkEnd w:id="946"/>
    <w:bookmarkEnd w:id="947"/>
    <w:bookmarkStart w:id="974" w:name="spiritual-leadership"/>
    <w:p>
      <w:pPr>
        <w:pStyle w:val="Heading1"/>
      </w:pPr>
      <w:r>
        <w:t xml:space="preserve">24. Spiritual Leadership</w:t>
      </w:r>
    </w:p>
    <w:p>
      <w:pPr>
        <w:pStyle w:val="FirstParagraph"/>
      </w:pPr>
      <w:r>
        <w:t xml:space="preserve">After discussing the Houses of Justice and civil sovereignty, a necessary question remains unresolved. If no institution governs belief, worship, or conscience, what form, if any, does spiritual leadership take?</w:t>
      </w:r>
    </w:p>
    <w:p>
      <w:pPr>
        <w:pStyle w:val="BodyText"/>
      </w:pPr>
      <w:r>
        <w:t xml:space="preserve">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pPr>
        <w:pStyle w:val="BodyText"/>
      </w:pPr>
      <w:r>
        <w:t xml:space="preserve">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or to use names, persons, and traditions to veil a person from accessing God.</w:t>
      </w:r>
    </w:p>
    <w:bookmarkStart w:id="948" w:name="X21aabbd6129f7ecc5300c20925f3b6a06ef3b3c"/>
    <w:p>
      <w:pPr>
        <w:pStyle w:val="Heading2"/>
      </w:pPr>
      <w:r>
        <w:t xml:space="preserve">24.1 To the Concourse of Ulama (Religious Scholars)</w:t>
      </w:r>
    </w:p>
    <w:p>
      <w:pPr>
        <w:pStyle w:val="FirstParagraph"/>
      </w:pPr>
      <w:r>
        <w:t xml:space="preserve">Both the Báb and Bahá’u’lláh were considerably critical of the Muslim ulama. The ulama are people who fulfilled a wide range of roles within the religion, such as scholarship, theological law, judges, interpreters, transmitters, government officials of Islamic states, teachers,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in all religions, including the religions the Báb and Bahá’u’lláh led.</w:t>
      </w:r>
    </w:p>
    <w:p>
      <w:pPr>
        <w:pStyle w:val="BodyText"/>
      </w:pPr>
      <w:r>
        <w:t xml:space="preserve">This section will be a summary of the guidance for the ulama from paragraphs 165–172:</w:t>
      </w:r>
    </w:p>
    <w:p>
      <w:pPr>
        <w:numPr>
          <w:ilvl w:val="0"/>
          <w:numId w:val="1022"/>
        </w:numPr>
        <w:pStyle w:val="Compact"/>
      </w:pPr>
      <w:r>
        <w:t xml:space="preserve">Do not view yourself as greater than God. This can manifest itself in actions, not just words.</w:t>
      </w:r>
    </w:p>
    <w:p>
      <w:pPr>
        <w:numPr>
          <w:ilvl w:val="0"/>
          <w:numId w:val="1022"/>
        </w:numPr>
        <w:pStyle w:val="Compact"/>
      </w:pPr>
      <w:r>
        <w:t xml:space="preserve">Do not worship the idols of your own desires.</w:t>
      </w:r>
    </w:p>
    <w:p>
      <w:pPr>
        <w:numPr>
          <w:ilvl w:val="0"/>
          <w:numId w:val="1022"/>
        </w:numPr>
        <w:pStyle w:val="Compact"/>
      </w:pPr>
      <w:r>
        <w:t xml:space="preserve">Abandon your illusions and turn towards God.</w:t>
      </w:r>
    </w:p>
    <w:p>
      <w:pPr>
        <w:numPr>
          <w:ilvl w:val="0"/>
          <w:numId w:val="1022"/>
        </w:numPr>
        <w:pStyle w:val="Compact"/>
      </w:pPr>
      <w:r>
        <w:t xml:space="preserve">Do not weigh the Book of God with the rules and sciences you possess. This means old techniques may not actually be useful or relevant to understanding the Book of God, even Books such as the Qur’an.</w:t>
      </w:r>
    </w:p>
    <w:p>
      <w:pPr>
        <w:numPr>
          <w:ilvl w:val="0"/>
          <w:numId w:val="1022"/>
        </w:numPr>
        <w:pStyle w:val="Compact"/>
      </w:pPr>
      <w:r>
        <w:t xml:space="preserve">Do not weigh the Book of God with your own desires. Let God guide you instead of you trying to guide God.</w:t>
      </w:r>
    </w:p>
    <w:p>
      <w:pPr>
        <w:numPr>
          <w:ilvl w:val="0"/>
          <w:numId w:val="1022"/>
        </w:numPr>
        <w:pStyle w:val="Compact"/>
      </w:pPr>
      <w:r>
        <w:t xml:space="preserve">Do not corrupt the Cause of God.</w:t>
      </w:r>
    </w:p>
    <w:p>
      <w:pPr>
        <w:numPr>
          <w:ilvl w:val="0"/>
          <w:numId w:val="1022"/>
        </w:numPr>
        <w:pStyle w:val="Compact"/>
      </w:pPr>
      <w:r>
        <w:t xml:space="preserve">Do not create veils which hinder people’s recognition of God.</w:t>
      </w:r>
    </w:p>
    <w:p>
      <w:pPr>
        <w:numPr>
          <w:ilvl w:val="0"/>
          <w:numId w:val="1022"/>
        </w:numPr>
        <w:pStyle w:val="Compact"/>
      </w:pPr>
      <w:r>
        <w:t xml:space="preserve">Do not let names keep you from God, such as the names of prior Prophets or the names of prior Books.</w:t>
      </w:r>
    </w:p>
    <w:p>
      <w:pPr>
        <w:numPr>
          <w:ilvl w:val="0"/>
          <w:numId w:val="1022"/>
        </w:numPr>
        <w:pStyle w:val="Compact"/>
      </w:pPr>
      <w:r>
        <w:t xml:space="preserve">Do not let your allegiance to a prior Prophet veil you from the authority of God.</w:t>
      </w:r>
    </w:p>
    <w:p>
      <w:pPr>
        <w:numPr>
          <w:ilvl w:val="0"/>
          <w:numId w:val="1022"/>
        </w:numPr>
        <w:pStyle w:val="Compact"/>
      </w:pPr>
      <w:r>
        <w:t xml:space="preserve">Do not let the spiritual practice of remembrance veil you. This refers more to the performative than the transformative.</w:t>
      </w:r>
    </w:p>
    <w:p>
      <w:pPr>
        <w:numPr>
          <w:ilvl w:val="0"/>
          <w:numId w:val="1022"/>
        </w:numPr>
        <w:pStyle w:val="Compact"/>
      </w:pPr>
      <w:r>
        <w:t xml:space="preserve">Do not become the cause of discord.</w:t>
      </w:r>
    </w:p>
    <w:p>
      <w:pPr>
        <w:numPr>
          <w:ilvl w:val="0"/>
          <w:numId w:val="1022"/>
        </w:numPr>
        <w:pStyle w:val="Compact"/>
      </w:pPr>
      <w:r>
        <w:t xml:space="preserve">Do not be the cause for others to reject God.</w:t>
      </w:r>
    </w:p>
    <w:p>
      <w:pPr>
        <w:pStyle w:val="FirstParagraph"/>
      </w:pPr>
      <w:r>
        <w:t xml:space="preserve">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w:t>
      </w:r>
    </w:p>
    <w:p>
      <w:pPr>
        <w:pStyle w:val="BodyText"/>
      </w:pPr>
      <w:r>
        <w:t xml:space="preserve">For various reasons, people who take on the various roles of the ulama chose these roles. They chose to take on certain responsibilities, and these responsibilities have real consequences within this world, especially for those individuals who relied on the ulama for guidance and salvation.</w:t>
      </w:r>
    </w:p>
    <w:p>
      <w:pPr>
        <w:pStyle w:val="BodyText"/>
      </w:pPr>
      <w:r>
        <w:t xml:space="preserve">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souls from corrupt spiritual leaders. Yet He did not abolish spiritual leadership. Instead, Bahá’u’lláh offers His own vision of spiritual leadership.</w:t>
      </w:r>
    </w:p>
    <w:p>
      <w:pPr>
        <w:pStyle w:val="BodyText"/>
      </w:pPr>
      <w:r>
        <w:rPr>
          <w:iCs/>
          <w:i/>
        </w:rPr>
        <w:t xml:space="preserve">Reflection: How can moral influence guide souls while guarding their direct access to God, so leadership remains service and never becomes spiritual possession?</w:t>
      </w:r>
    </w:p>
    <w:p>
      <w:pPr>
        <w:pStyle w:val="BodyText"/>
      </w:pPr>
      <w:r>
        <w:t xml:space="preserve">This question prepares us to examine the one group Bahá’u’lláh praises, scholars who assist without claiming authority.</w:t>
      </w:r>
    </w:p>
    <w:bookmarkEnd w:id="948"/>
    <w:bookmarkStart w:id="951" w:name="scholars-in-the-cause-of-bahá"/>
    <w:p>
      <w:pPr>
        <w:pStyle w:val="Heading2"/>
      </w:pPr>
      <w:r>
        <w:t xml:space="preserve">24.2 Scholars in the Cause of Bahá</w:t>
      </w:r>
    </w:p>
    <w:p>
      <w:pPr>
        <w:pStyle w:val="FirstParagraph"/>
      </w:pPr>
      <w:r>
        <w:t xml:space="preserve">In the Kitáb-i-Aqdas #173, Bahá’u’lláh offers these praises for scholars in the Cause of Bahá:</w:t>
      </w:r>
    </w:p>
    <w:p>
      <w:pPr>
        <w:pStyle w:val="BlockText"/>
      </w:pPr>
      <w:r>
        <w:t xml:space="preserve">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pPr>
        <w:pStyle w:val="FirstParagraph"/>
      </w:pPr>
      <w:r>
        <w:t xml:space="preserve">He also offers blessings to those who turn towards the scholars, and woe to the headless. These scholars and those who turn to them are nourished by the Revelation of God through Bahá’u’lláh.</w:t>
      </w:r>
    </w:p>
    <w:bookmarkStart w:id="950" w:name="turning-to"/>
    <w:p>
      <w:pPr>
        <w:pStyle w:val="Heading3"/>
      </w:pPr>
      <w:r>
        <w:t xml:space="preserve">24.2.1 Turning To</w:t>
      </w:r>
    </w:p>
    <w:p>
      <w:pPr>
        <w:pStyle w:val="FirstParagraph"/>
      </w:pPr>
      <w:r>
        <w:t xml:space="preserve">What does it mean to turn to? In the most simple terms, to turn to someone means to give your attention. The responsibility to turn towards scholars in the cause of Bahá is a responsibility for anyone who believes in Bahá’u’lláh as a Manifestation of God. This would be like consulting an expert, who uses their skills to unveil portions of the truth, but unlike a doctor, the scholar’s prescription for the soul is not binding. Bahá’u’lláh does not express any rights for scholars. Instead, the prohibitions and admonitions described for the Muslim ulama would also apply to scholars in the Cause of God.</w:t>
      </w:r>
    </w:p>
    <w:p>
      <w:pPr>
        <w:pStyle w:val="BodyText"/>
      </w:pPr>
      <w:r>
        <w:t xml:space="preserve">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it may offer financial support for their work or the logistics necessary to complete the work.</w:t>
      </w:r>
    </w:p>
    <w:p>
      <w:pPr>
        <w:pStyle w:val="BodyText"/>
      </w:pPr>
      <w:r>
        <w:t xml:space="preserve">Yet, scholars do not carry authority. They have no right nor claim. Any person we turn towards is less authoritative than Bahá’u’lláh. While a scholar’s work is valuable, it can never supplant the Word of God. Bahá’u’lláh says after His passing, to refer to what has been revealed from Him. Bahá’u’lláh is always the primary source until the next Manifestation of God comes. Everything scholars may unveil is partial, never the completeness. We should be careful never to make any scholar a primary source. If a scholar tries to be the complete source, it violates our right to education by denying our ability to fully witness in our roles as trustees.</w:t>
      </w:r>
    </w:p>
    <w:p>
      <w:pPr>
        <w:pStyle w:val="BodyText"/>
      </w:pPr>
      <w:r>
        <w:t xml:space="preserve">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is there than purposefully taking the place of God? This is why Bahá’u’lláh says</w:t>
      </w:r>
      <w:r>
        <w:t xml:space="preserve"> </w:t>
      </w:r>
      <w:r>
        <w:t xml:space="preserve">“</w:t>
      </w:r>
      <w:r>
        <w:t xml:space="preserve">none can match Him in the field of mystical insight, knowledge, wisdom, and expression.</w:t>
      </w:r>
      <w:r>
        <w:t xml:space="preserve">”</w:t>
      </w:r>
      <w:r>
        <w:rPr>
          <w:rStyle w:val="FootnoteReference"/>
        </w:rPr>
        <w:footnoteReference w:id="949"/>
      </w:r>
    </w:p>
    <w:p>
      <w:pPr>
        <w:pStyle w:val="BodyText"/>
      </w:pPr>
      <w:r>
        <w:rPr>
          <w:iCs/>
          <w:i/>
        </w:rPr>
        <w:t xml:space="preserve">Reflection: What does it look like to turn toward scholars as companions in understanding, while refusing every temptation to treat them as a substitute source of divine authority?</w:t>
      </w:r>
    </w:p>
    <w:p>
      <w:pPr>
        <w:pStyle w:val="BodyText"/>
      </w:pPr>
      <w:r>
        <w:t xml:space="preserve">With that boundary in place, we can face concrete examples where spiritual leadership becomes self-exaltation and misdirection.</w:t>
      </w:r>
    </w:p>
    <w:bookmarkEnd w:id="950"/>
    <w:bookmarkEnd w:id="951"/>
    <w:bookmarkStart w:id="962" w:name="Xf15caaa68dd3fab9634045bfe0b0c02b08405d2"/>
    <w:p>
      <w:pPr>
        <w:pStyle w:val="Heading2"/>
      </w:pPr>
      <w:r>
        <w:t xml:space="preserve">24.3 Examples of Spiritual Leadership Gone Wrong</w:t>
      </w:r>
    </w:p>
    <w:bookmarkStart w:id="953" w:name="shaykh-muḥammad-ḥasan-al-najafí"/>
    <w:p>
      <w:pPr>
        <w:pStyle w:val="Heading3"/>
      </w:pPr>
      <w:r>
        <w:t xml:space="preserve">24.3.1 Shaykh Muḥammad Ḥasan al-Najafí</w:t>
      </w:r>
    </w:p>
    <w:p>
      <w:pPr>
        <w:pStyle w:val="FirstParagraph"/>
      </w:pPr>
      <w:r>
        <w:t xml:space="preserve">Bahá’u’lláh says this about Shaykh Muḥammad Ḥasan al-Najafí:</w:t>
      </w:r>
    </w:p>
    <w:p>
      <w:pPr>
        <w:pStyle w:val="BlockText"/>
      </w:pPr>
      <w:r>
        <w:t xml:space="preserve">Mention the Shaykh who was called Muhammad before Hasan, who was among the most learned of scholars in his time.</w:t>
      </w:r>
      <w:r>
        <w:rPr>
          <w:rStyle w:val="FootnoteReference"/>
        </w:rPr>
        <w:footnoteReference w:id="952"/>
      </w:r>
      <w:r>
        <w:t xml:space="preserve"> </w:t>
      </w:r>
      <w:r>
        <w:t xml:space="preserve">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pPr>
        <w:pStyle w:val="FirstParagraph"/>
      </w:pPr>
      <w:r>
        <w:t xml:space="preserve">He was the author of</w:t>
      </w:r>
      <w:r>
        <w:t xml:space="preserve"> </w:t>
      </w:r>
      <w:r>
        <w:t xml:space="preserve">“</w:t>
      </w:r>
      <w:r>
        <w:t xml:space="preserve">Jawāhir al-kalām fī sharḥ sharāʾiʿ al-islām,</w:t>
      </w:r>
      <w:r>
        <w:t xml:space="preserve">”</w:t>
      </w:r>
      <w:r>
        <w:t xml:space="preserve"> </w:t>
      </w:r>
      <w:r>
        <w:t xml:space="preserve">a book about Shi’a jurisprudence. By this point, jurisprudence sometimes had used the Qur’an as a source, but typically secondary sources were used to determine legal and ethical standards. The emphasis on sources other than God created a veil for al-Najafí and those who regarded him as a primary source of understanding. Al-Najafí failed his followers.</w:t>
      </w:r>
    </w:p>
    <w:bookmarkEnd w:id="953"/>
    <w:bookmarkStart w:id="958" w:name="ḥájjí-mírzá-muḥammad-karím-khán-kirmání"/>
    <w:p>
      <w:pPr>
        <w:pStyle w:val="Heading3"/>
      </w:pPr>
      <w:r>
        <w:t xml:space="preserve">24.3.2 Ḥájjí Mírzá Muḥammad Karím Khán Kirmání</w:t>
      </w:r>
    </w:p>
    <w:p>
      <w:pPr>
        <w:pStyle w:val="FirstParagraph"/>
      </w:pPr>
      <w:r>
        <w:t xml:space="preserve">Bahá’u’lláh mentions Karim:</w:t>
      </w:r>
    </w:p>
    <w:p>
      <w:pPr>
        <w:pStyle w:val="BlockText"/>
      </w:pPr>
      <w:r>
        <w:t xml:space="preserve">Recall Karim</w:t>
      </w:r>
      <w:r>
        <w:rPr>
          <w:rStyle w:val="FootnoteReference"/>
        </w:rPr>
        <w:footnoteReference w:id="954"/>
      </w:r>
      <w:r>
        <w:t xml:space="preserve">,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pPr>
        <w:pStyle w:val="FirstParagraph"/>
      </w:pPr>
      <w:r>
        <w:t xml:space="preserve">The following information is a summary from the Hurqalya Publications from the University of California Merced website as of Year 181 BE (2025).</w:t>
      </w:r>
      <w:r>
        <w:rPr>
          <w:rStyle w:val="FootnoteReference"/>
        </w:rPr>
        <w:footnoteReference w:id="955"/>
      </w:r>
      <w:r>
        <w:t xml:space="preserve"> </w:t>
      </w:r>
      <w:r>
        <w:t xml:space="preserve">Karim was the self-appointed third leader of the Twelver Shi’a Shaykhi movement.</w:t>
      </w:r>
    </w:p>
    <w:p>
      <w:pPr>
        <w:pStyle w:val="BodyText"/>
      </w:pPr>
      <w:r>
        <w:t xml:space="preserve">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 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pPr>
        <w:pStyle w:val="BodyText"/>
      </w:pPr>
      <w:r>
        <w:t xml:space="preserve">Karim did not participate in the search. When one of the Shaykhi students, Mullá Ḥusayn, first recognized the Báb on the evening of May 22, 1844, the Báb became the nominal leader of the Shaykhi School as the Qa’im and Twelfth Imam. Karim did not follow the Báb. Instead, he wrote a refutation called</w:t>
      </w:r>
      <w:r>
        <w:t xml:space="preserve"> </w:t>
      </w:r>
      <w:r>
        <w:t xml:space="preserve">“</w:t>
      </w:r>
      <w:r>
        <w:t xml:space="preserve">The Crushing of Falsehood in Refutation of Babism.</w:t>
      </w:r>
      <w:r>
        <w:t xml:space="preserve">”</w:t>
      </w:r>
      <w:r>
        <w:t xml:space="preserve"> </w:t>
      </w:r>
      <w:r>
        <w:t xml:space="preserve">Baha’u’llah said Karim had penned a new refutation each year.</w:t>
      </w:r>
      <w:r>
        <w:rPr>
          <w:rStyle w:val="FootnoteReference"/>
        </w:rPr>
        <w:footnoteReference w:id="957"/>
      </w:r>
      <w:r>
        <w:t xml:space="preserve"> </w:t>
      </w:r>
      <w:r>
        <w:t xml:space="preserve">The same year the Kitáb-i-Aqdas was penned, Karim had passed away. His last act was the writing of a Will and Testament appointing his hereditary descendants as leaders. The Shaykhi School still exists and is currently led by Hajji Sayyid Ali Musawi al-Hifzih.</w:t>
      </w:r>
    </w:p>
    <w:bookmarkEnd w:id="958"/>
    <w:bookmarkStart w:id="961" w:name="mírzá-yaḥyá-núrí-ṣubḥ-i-azal"/>
    <w:p>
      <w:pPr>
        <w:pStyle w:val="Heading3"/>
      </w:pPr>
      <w:r>
        <w:t xml:space="preserve">24.3.3 Mírzá Yaḥyá Núrí (Ṣubḥ-i-Azal)</w:t>
      </w:r>
    </w:p>
    <w:p>
      <w:pPr>
        <w:pStyle w:val="FirstParagraph"/>
      </w:pPr>
      <w:r>
        <w:t xml:space="preserve">Bahá’u’lláh addresses Mírzá Yaḥyá:</w:t>
      </w:r>
    </w:p>
    <w:p>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pPr>
        <w:pStyle w:val="BlockText"/>
      </w:pPr>
      <w:r>
        <w:t xml:space="preserve">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959"/>
      </w:r>
    </w:p>
    <w:p>
      <w:pPr>
        <w:pStyle w:val="FirstParagraph"/>
      </w:pPr>
      <w:r>
        <w:t xml:space="preserve">Mírzá Yaḥyá Núrí is Bahá’u’lláh’s half brother. When he completed his first Bayanic cycle at 19 years of age, the Primal Point had instructed him to execute His Will and Testament.</w:t>
      </w:r>
      <w:r>
        <w:rPr>
          <w:rStyle w:val="FootnoteReference"/>
        </w:rPr>
        <w:footnoteReference w:id="960"/>
      </w:r>
      <w:r>
        <w:t xml:space="preserve"> </w:t>
      </w:r>
      <w:r>
        <w:t xml:space="preserve">Yaḥyá, who was designated with the name Ṣubḥ-i-Azal by the Báb, was the appointed custodian or steward. By this point in time in Year 6 BE (1850), he was considered as a mirror, reflecting the light of God through the Báb. Yaḥyá was not a Manifestation of God.</w:t>
      </w:r>
    </w:p>
    <w:p>
      <w:pPr>
        <w:pStyle w:val="BodyText"/>
      </w:pPr>
      <w:r>
        <w:t xml:space="preserve">The testament instructs Ṣubḥ-i-Azal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that God could manifest Himself again within the lifetime of Ṣubḥ-i-Azal.</w:t>
      </w:r>
    </w:p>
    <w:p>
      <w:pPr>
        <w:pStyle w:val="BodyText"/>
      </w:pPr>
      <w:r>
        <w:t xml:space="preserve">Year 14 BE (1858) later, Bahá’u’lláh wrote the Tafsír-i-Hú, an explanation of the Name of God</w:t>
      </w:r>
      <w:r>
        <w:t xml:space="preserve"> </w:t>
      </w:r>
      <w:r>
        <w:t xml:space="preserve">“</w:t>
      </w:r>
      <w:r>
        <w:t xml:space="preserve">He.</w:t>
      </w:r>
      <w:r>
        <w:t xml:space="preserve">”</w:t>
      </w:r>
      <w:r>
        <w:t xml:space="preserve"> </w:t>
      </w:r>
      <w:r>
        <w:t xml:space="preserve">In it, Bahá’u’lláh affirms Yaḥyá’s status as a Mirror, whose purpose is to reflect divine names and attributes. Yaḥyá is fully capable of reflecting the light of God if he remains faithful to God’s command. It seems that Yaḥyá was at the threshold of remaining aligned and potentially turning away. In the same tablet, Bahá’u’lláh warns Yaḥyá against pride and self-exaltation. The Mirror must not mistake itself for the Source.</w:t>
      </w:r>
    </w:p>
    <w:p>
      <w:pPr>
        <w:pStyle w:val="BodyText"/>
      </w:pPr>
      <w:r>
        <w:t xml:space="preserve">In Year 19 BE (1863), Bahá’u’lláh had publicly announced that He is</w:t>
      </w:r>
      <w:r>
        <w:t xml:space="preserve"> </w:t>
      </w:r>
      <w:r>
        <w:t xml:space="preserve">“</w:t>
      </w:r>
      <w:r>
        <w:t xml:space="preserve">He Whom God Shall Make Manifest.</w:t>
      </w:r>
      <w:r>
        <w:t xml:space="preserve">”</w:t>
      </w:r>
      <w:r>
        <w:t xml:space="preserve"> </w:t>
      </w:r>
      <w:r>
        <w:t xml:space="preserve">This was 19 years (a full Bayanic cycle) after the dawning of the Báb, and 13 years after His instruction to Mírzá Yaḥyá. Mírzá Yaḥyá did not recognize Bahá’u’lláh as a Manifestation of God. By Year 24 BE (1868), when both had been taken to Constantinople and Edirne, Bahá’u’lláh revealed the Kitáb-i-Badí‘. In it, Bahá’u’lláh describes how Mírzá Yaḥyá had violated the trust given to him by the Báb, how he was no longer acting as a custodian. He left the Writings behind in Persia when he migrated to Baghdad. Bahá’u’lláh says that Yaḥyá focused more on concealment than custodianship, withholding the Báb’s Texts, obstructing their circulation, and centralizing authority through himself instead of allowing the Bayani communities to be led by the Bayan.</w:t>
      </w:r>
    </w:p>
    <w:p>
      <w:pPr>
        <w:pStyle w:val="BodyText"/>
      </w:pPr>
      <w:r>
        <w:t xml:space="preserve">Outside of custodianship, Bahá’u’lláh describes Yaḥyá as acting contrary to what God desired of him. Yaḥyá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Yaḥyá struggled with restraint, especially towards women and potentially with drugs such as opium and hashish, which may have further multiplied his erratic behaviors. Bahá’u’lláh instructs Yaḥyá’s followers to read Yaḥyá’s Mustayqiz as evidence of Bahá’u’lláh’s observations.</w:t>
      </w:r>
    </w:p>
    <w:p>
      <w:pPr>
        <w:pStyle w:val="BodyText"/>
      </w:pPr>
      <w:r>
        <w:t xml:space="preserve">In Year 47 BE (1891), the last year of Bahá’u’lláh’s life on Earth, He continued to offer love and forgiveness towards Yaḥyá. He instructs His followers to send someone to Cyprus to look after him with the hope that Yaḥyá will recognize God’s love. Still, at this time it was observed that some of Yaḥyá’s followers put his image above others. Mírzá Yaḥyá’s failure was the illusion of being the source. His self-exaltation led to others exalting him as an idol.</w:t>
      </w:r>
    </w:p>
    <w:p>
      <w:pPr>
        <w:pStyle w:val="BodyText"/>
      </w:pPr>
      <w:r>
        <w:rPr>
          <w:iCs/>
          <w:i/>
        </w:rPr>
        <w:t xml:space="preserve">Reflection: What practical disciplines help a community resist the idol making of persons, so spiritual influence never replaces the Manifestation as the living standard?</w:t>
      </w:r>
    </w:p>
    <w:p>
      <w:pPr>
        <w:pStyle w:val="BodyText"/>
      </w:pPr>
      <w:r>
        <w:t xml:space="preserve">With these examples in view, we can name the protections that keep souls free without abolishing guidance or scholarship.</w:t>
      </w:r>
    </w:p>
    <w:bookmarkEnd w:id="961"/>
    <w:bookmarkEnd w:id="962"/>
    <w:bookmarkStart w:id="973" w:name="X6b78a1c75b4122206ac6856f5be228fdfce1179"/>
    <w:p>
      <w:pPr>
        <w:pStyle w:val="Heading2"/>
      </w:pPr>
      <w:r>
        <w:t xml:space="preserve">24.4 Protecting Against Corrupt Spiritual Leaders</w:t>
      </w:r>
    </w:p>
    <w:p>
      <w:pPr>
        <w:pStyle w:val="FirstParagraph"/>
      </w:pPr>
      <w:r>
        <w:t xml:space="preserve">In the examples of al-Najafí, Karím Khán Kirmání, and Mírzá Yaḥyá, we see different ways that spiritual leadership was used to self-exalt and mislead others into believing in that exaltation. Each leader claimed rights for themselves which God did not allow, and failed in their responsibilities as trustees over God’s trust (the believer). Al-Najafí relied on secondary sources to interpret, Karim self-appointed himself and a hereditary successorship, and Yaḥyá failed in his trusteeship. These three examples are as relevant today as they were when the Kitáb-i-Aqdas was written.</w:t>
      </w:r>
    </w:p>
    <w:p>
      <w:pPr>
        <w:pStyle w:val="BodyText"/>
      </w:pPr>
      <w:r>
        <w:t xml:space="preserve">By the time each had passed away, their souls were chained by their self-passion and self-indulgence. They failed to liberate themselves and, worse yet, they inhibited the liberation of souls who turned towards them. As they pass through the spiritual worlds of God, my hope is that they are able to be free of their constraints and can truly be set free.</w:t>
      </w:r>
    </w:p>
    <w:p>
      <w:pPr>
        <w:pStyle w:val="BodyText"/>
      </w:pPr>
      <w:r>
        <w:t xml:space="preserve">Chapter 18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to avoid responsibilities over which God had commanded.</w:t>
      </w:r>
    </w:p>
    <w:bookmarkStart w:id="971" w:name="qualities-of-disbelievers"/>
    <w:p>
      <w:pPr>
        <w:pStyle w:val="Heading3"/>
      </w:pPr>
      <w:r>
        <w:t xml:space="preserve">24.4.1 Qualities of Disbelievers</w:t>
      </w:r>
    </w:p>
    <w:p>
      <w:pPr>
        <w:pStyle w:val="FirstParagraph"/>
      </w:pPr>
      <w:r>
        <w:t xml:space="preserve">To help discern which people may be corrupt spiritual leaders, Bahá’u’lláh does offer much counsel throughout the Kitáb-i-Aqdas. This will be a list of qualities attributed to disbelievers, to include those who claim belief and desire leadership.</w:t>
      </w:r>
    </w:p>
    <w:p>
      <w:pPr>
        <w:numPr>
          <w:ilvl w:val="0"/>
          <w:numId w:val="1023"/>
        </w:numPr>
        <w:pStyle w:val="Compact"/>
      </w:pPr>
      <w:r>
        <w:t xml:space="preserve">They seek prestige to any degree.</w:t>
      </w:r>
      <w:r>
        <w:rPr>
          <w:rStyle w:val="FootnoteReference"/>
        </w:rPr>
        <w:footnoteReference w:id="963"/>
      </w:r>
    </w:p>
    <w:p>
      <w:pPr>
        <w:numPr>
          <w:ilvl w:val="0"/>
          <w:numId w:val="1023"/>
        </w:numPr>
        <w:pStyle w:val="Compact"/>
      </w:pPr>
      <w:r>
        <w:t xml:space="preserve">They claim hidden knowledge and esoteric understanding.</w:t>
      </w:r>
    </w:p>
    <w:p>
      <w:pPr>
        <w:numPr>
          <w:ilvl w:val="0"/>
          <w:numId w:val="1023"/>
        </w:numPr>
        <w:pStyle w:val="Compact"/>
      </w:pPr>
      <w:r>
        <w:t xml:space="preserve">They cling to their own principles.</w:t>
      </w:r>
      <w:r>
        <w:rPr>
          <w:rStyle w:val="FootnoteReference"/>
        </w:rPr>
        <w:footnoteReference w:id="964"/>
      </w:r>
    </w:p>
    <w:p>
      <w:pPr>
        <w:numPr>
          <w:ilvl w:val="0"/>
          <w:numId w:val="1023"/>
        </w:numPr>
        <w:pStyle w:val="Compact"/>
      </w:pPr>
      <w:r>
        <w:t xml:space="preserve">They are sorrowful.</w:t>
      </w:r>
      <w:r>
        <w:rPr>
          <w:rStyle w:val="FootnoteReference"/>
        </w:rPr>
        <w:footnoteReference w:id="965"/>
      </w:r>
    </w:p>
    <w:p>
      <w:pPr>
        <w:numPr>
          <w:ilvl w:val="0"/>
          <w:numId w:val="1023"/>
        </w:numPr>
        <w:pStyle w:val="Compact"/>
      </w:pPr>
      <w:r>
        <w:t xml:space="preserve">They deny what God has permitted.</w:t>
      </w:r>
      <w:r>
        <w:rPr>
          <w:rStyle w:val="FootnoteReference"/>
        </w:rPr>
        <w:footnoteReference w:id="966"/>
      </w:r>
    </w:p>
    <w:p>
      <w:pPr>
        <w:numPr>
          <w:ilvl w:val="0"/>
          <w:numId w:val="1023"/>
        </w:numPr>
        <w:pStyle w:val="Compact"/>
      </w:pPr>
      <w:r>
        <w:t xml:space="preserve">They treat outward actions as a substitute for inner sincerity (for example,</w:t>
      </w:r>
      <w:r>
        <w:t xml:space="preserve"> </w:t>
      </w:r>
      <w:r>
        <w:t xml:space="preserve">“</w:t>
      </w:r>
      <w:r>
        <w:t xml:space="preserve">I pray in public, therefore I am righteous</w:t>
      </w:r>
      <w:r>
        <w:t xml:space="preserve">”</w:t>
      </w:r>
      <w:r>
        <w:t xml:space="preserve">).</w:t>
      </w:r>
    </w:p>
    <w:p>
      <w:pPr>
        <w:numPr>
          <w:ilvl w:val="0"/>
          <w:numId w:val="1023"/>
        </w:numPr>
        <w:pStyle w:val="Compact"/>
      </w:pPr>
      <w:r>
        <w:t xml:space="preserve">They hesitate in the Cause of God.</w:t>
      </w:r>
      <w:r>
        <w:rPr>
          <w:rStyle w:val="FootnoteReference"/>
        </w:rPr>
        <w:footnoteReference w:id="967"/>
      </w:r>
    </w:p>
    <w:p>
      <w:pPr>
        <w:numPr>
          <w:ilvl w:val="0"/>
          <w:numId w:val="1023"/>
        </w:numPr>
        <w:pStyle w:val="Compact"/>
      </w:pPr>
      <w:r>
        <w:t xml:space="preserve">They are wolves in sheep’s garments.</w:t>
      </w:r>
      <w:r>
        <w:rPr>
          <w:rStyle w:val="FootnoteReference"/>
        </w:rPr>
        <w:footnoteReference w:id="968"/>
      </w:r>
    </w:p>
    <w:p>
      <w:pPr>
        <w:numPr>
          <w:ilvl w:val="0"/>
          <w:numId w:val="1023"/>
        </w:numPr>
        <w:pStyle w:val="Compact"/>
      </w:pPr>
      <w:r>
        <w:t xml:space="preserve">They are intoxicated by desire.</w:t>
      </w:r>
      <w:r>
        <w:rPr>
          <w:rStyle w:val="FootnoteReference"/>
        </w:rPr>
        <w:footnoteReference w:id="969"/>
      </w:r>
    </w:p>
    <w:p>
      <w:pPr>
        <w:numPr>
          <w:ilvl w:val="0"/>
          <w:numId w:val="1023"/>
        </w:numPr>
        <w:pStyle w:val="Compact"/>
      </w:pPr>
      <w:r>
        <w:t xml:space="preserve">They distort the Word of God.</w:t>
      </w:r>
      <w:r>
        <w:rPr>
          <w:rStyle w:val="FootnoteReference"/>
        </w:rPr>
        <w:footnoteReference w:id="970"/>
      </w:r>
    </w:p>
    <w:bookmarkEnd w:id="971"/>
    <w:bookmarkStart w:id="972" w:name="your-responsibility-to-remain-free"/>
    <w:p>
      <w:pPr>
        <w:pStyle w:val="Heading3"/>
      </w:pPr>
      <w:r>
        <w:t xml:space="preserve">24.4.2 Your Responsibility to Remain Free</w:t>
      </w:r>
    </w:p>
    <w:p>
      <w:pPr>
        <w:pStyle w:val="FirstParagraph"/>
      </w:pPr>
      <w:r>
        <w:t xml:space="preserve">The foundation for ensuring you do not follow corrupt spiritual leaders is to believe in the rights you have. Believe these rights extend to everyone. Believe in your responsibilities derived from your belief in God. Believe in the responsibilities of those who do lead in any manner. Learn how the trusteeship model can be applied in any spiritual leadership role. Bahá’u’lláh did not prohibit clergy, nor religious scholarship.</w:t>
      </w:r>
    </w:p>
    <w:p>
      <w:pPr>
        <w:pStyle w:val="BodyText"/>
      </w:pPr>
      <w:r>
        <w:t xml:space="preserve">If we refer back to our constellation of unity, we rely on the stars of virtue to guide us. These stars are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pPr>
        <w:pStyle w:val="BodyText"/>
      </w:pPr>
      <w:r>
        <w:t xml:space="preserve">What we can do is allow the diverse observations, expressions, and unique constellations of virtue we all possess to help illuminate each other’s way. One insight here, another there, and a spiritual practice everywhere gets us to paradise where our Lord awaits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pPr>
        <w:pStyle w:val="BodyText"/>
      </w:pPr>
      <w:r>
        <w:t xml:space="preserve">As we have a responsibility to turn towards scholars, Bahá’u’lláh also describes what should happen once He was no longer among us. After His passing in Year 48 BE (1892), what was supposed to happen? The next chapter will describe spiritual successorship.</w:t>
      </w:r>
    </w:p>
    <w:p>
      <w:r>
        <w:br w:type="page"/>
      </w:r>
    </w:p>
    <w:bookmarkEnd w:id="972"/>
    <w:bookmarkEnd w:id="973"/>
    <w:bookmarkEnd w:id="974"/>
    <w:bookmarkStart w:id="998" w:name="spiritual-successorship"/>
    <w:p>
      <w:pPr>
        <w:pStyle w:val="Heading1"/>
      </w:pPr>
      <w:r>
        <w:t xml:space="preserve">25. Spiritual Successorship</w:t>
      </w:r>
    </w:p>
    <w:p>
      <w:pPr>
        <w:pStyle w:val="FirstParagraph"/>
      </w:pPr>
      <w:r>
        <w:t xml:space="preserve">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48 BE (1892) up to today? How will we shape the future in Bahá’u’lláh’s vision after today? This is where spiritual authority, community responsibility, and the work of true liberation meet in practical form.</w:t>
      </w:r>
    </w:p>
    <w:bookmarkStart w:id="975" w:name="X59d2dab3d6834e5ee8498239722f56fbe15b4a0"/>
    <w:p>
      <w:pPr>
        <w:pStyle w:val="Heading2"/>
      </w:pPr>
      <w:r>
        <w:t xml:space="preserve">25.1 BH11278 (The Book of My Testament After Me)</w:t>
      </w:r>
    </w:p>
    <w:p>
      <w:pPr>
        <w:pStyle w:val="FirstParagraph"/>
      </w:pPr>
      <w:r>
        <w:t xml:space="preserve">I want to introduce</w:t>
      </w:r>
      <w:r>
        <w:t xml:space="preserve"> </w:t>
      </w:r>
      <w:r>
        <w:t xml:space="preserve">“</w:t>
      </w:r>
      <w:r>
        <w:t xml:space="preserve">The Book of My Testament After Me</w:t>
      </w:r>
      <w:r>
        <w:t xml:space="preserve">”</w:t>
      </w:r>
      <w:r>
        <w:t xml:space="preserve">, designated as BH11278. I am unsure exactly when it was written, but as Bahá’u’lláh Himself named it the</w:t>
      </w:r>
      <w:r>
        <w:t xml:space="preserve"> </w:t>
      </w:r>
      <w:r>
        <w:t xml:space="preserve">“</w:t>
      </w:r>
      <w:r>
        <w:t xml:space="preserve">Testament After Me,</w:t>
      </w:r>
      <w:r>
        <w:t xml:space="preserve">”</w:t>
      </w:r>
      <w:r>
        <w:t xml:space="preserve"> </w:t>
      </w:r>
      <w:r>
        <w:t xml:space="preserve">I feel it would still be relevant at any point after Him.</w:t>
      </w:r>
    </w:p>
    <w:p>
      <w:pPr>
        <w:pStyle w:val="BodyText"/>
      </w:pPr>
      <w:r>
        <w:t xml:space="preserve">The book is uncompromising in its nature of spiritual successorship. Authority passes through God to the Manifestation and is not transferable. Bahá’u’lláh says</w:t>
      </w:r>
      <w:r>
        <w:t xml:space="preserve"> </w:t>
      </w:r>
      <w:r>
        <w:t xml:space="preserve">“</w:t>
      </w:r>
      <w:r>
        <w:t xml:space="preserve">Can anyone share with Him in authority? Nay, by the Lord, though all may claim such for themselves.</w:t>
      </w:r>
      <w:r>
        <w:t xml:space="preserve">”</w:t>
      </w:r>
      <w:r>
        <w:t xml:space="preserve"> </w:t>
      </w:r>
      <w:r>
        <w:t xml:space="preserve">The true focal point of authority is the Book itself. No one may alter, interpret, or legislate apart from what God has revealed. He asks,</w:t>
      </w:r>
      <w:r>
        <w:t xml:space="preserve"> </w:t>
      </w:r>
      <w:r>
        <w:t xml:space="preserve">“</w:t>
      </w:r>
      <w:r>
        <w:t xml:space="preserve">Do you find any changer besides God or any interpreter apart from Him?</w:t>
      </w:r>
      <w:r>
        <w:t xml:space="preserve">”</w:t>
      </w:r>
    </w:p>
    <w:p>
      <w:pPr>
        <w:pStyle w:val="BodyText"/>
      </w:pPr>
      <w:r>
        <w:t xml:space="preserve">Succession is about recognition, not an inheritance. This recognition is borne of belief and submission to the Divine command, even when the Manifestation is no longer among us. Spiritual legitimacy is measured by fidelity to the divine light. Bahá’u’lláh says,</w:t>
      </w:r>
      <w:r>
        <w:t xml:space="preserve"> </w:t>
      </w:r>
      <w:r>
        <w:t xml:space="preserve">“</w:t>
      </w:r>
      <w:r>
        <w:t xml:space="preserve">The Remnant of God in these days is the Manifestation of Light.</w:t>
      </w:r>
      <w:r>
        <w:t xml:space="preserve">”</w:t>
      </w:r>
      <w:r>
        <w:t xml:space="preserve"> </w:t>
      </w:r>
      <w:r>
        <w:t xml:space="preserve">Without this light, claims of authority are like shadows. They do not reflect the light in the mirror of their soul. They may have form, but they lack substance.</w:t>
      </w:r>
    </w:p>
    <w:p>
      <w:pPr>
        <w:pStyle w:val="BodyText"/>
      </w:pPr>
      <w:r>
        <w:t xml:space="preserve">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pPr>
        <w:pStyle w:val="BodyText"/>
      </w:pPr>
      <w:r>
        <w:rPr>
          <w:iCs/>
          <w:i/>
        </w:rPr>
        <w:t xml:space="preserve">Reflection: What changes in your sense of responsibility when you treat the Book as the center of authority, rather than any person who speaks about it?</w:t>
      </w:r>
    </w:p>
    <w:p>
      <w:pPr>
        <w:pStyle w:val="BodyText"/>
      </w:pPr>
      <w:r>
        <w:t xml:space="preserve">This question matters because it shifts spiritual life from dependence to trusteeship.</w:t>
      </w:r>
    </w:p>
    <w:bookmarkEnd w:id="975"/>
    <w:bookmarkStart w:id="977" w:name="endowments"/>
    <w:p>
      <w:pPr>
        <w:pStyle w:val="Heading2"/>
      </w:pPr>
      <w:r>
        <w:t xml:space="preserve">25.2 Endowments</w:t>
      </w:r>
    </w:p>
    <w:p>
      <w:pPr>
        <w:pStyle w:val="FirstParagraph"/>
      </w:pPr>
      <w:r>
        <w:t xml:space="preserve">Bahá’u’lláh says,</w:t>
      </w:r>
      <w:r>
        <w:t xml:space="preserve"> </w:t>
      </w:r>
      <w:r>
        <w:t xml:space="preserve">“</w:t>
      </w:r>
      <w:r>
        <w:t xml:space="preserve">No one is permitted to manage them except with permission of the Source of Revelation.</w:t>
      </w:r>
      <w:r>
        <w:t xml:space="preserve">”</w:t>
      </w:r>
      <w:r>
        <w:rPr>
          <w:rStyle w:val="FootnoteReference"/>
        </w:rPr>
        <w:footnoteReference w:id="976"/>
      </w:r>
      <w:r>
        <w:t xml:space="preserve"> </w:t>
      </w:r>
      <w:r>
        <w:t xml:space="preserve">He continues by saying endowments are passed to the Aghsán, and after them to the institution of the House of Justice if it is established in the land. If not, endowments revert to the people of Baha. These endowments can only be used as specified in the Book. The specifications are for charitable purposes and for elevated places for the Cause.</w:t>
      </w:r>
    </w:p>
    <w:p>
      <w:pPr>
        <w:pStyle w:val="BodyText"/>
      </w:pPr>
      <w:r>
        <w:t xml:space="preserve">In BH08767, Bahá’u’lláh says all endowments revert to the Huqúqu’lláh. Chapter 12.4 describes the various ways Bahá’u’lláh had utilized these endowments. This was reiterated by Bahá’u’lláh in BH00979.</w:t>
      </w:r>
    </w:p>
    <w:p>
      <w:pPr>
        <w:pStyle w:val="BodyText"/>
      </w:pPr>
      <w:r>
        <w:t xml:space="preserve">Bahá’u’lláh begins the Kitáb-i-’Ahd (The Book of My Covenant) with a sermon regarding wealth. The Kitáb-i-’Ahd, which reflects His Will and Trust, says He did not leave treasures.</w:t>
      </w:r>
      <w:r>
        <w:t xml:space="preserve"> </w:t>
      </w:r>
      <w:r>
        <w:t xml:space="preserve">“</w:t>
      </w:r>
      <w:r>
        <w:t xml:space="preserve">There is hidden fear and concealed danger in wealth… The wealth of the world is untrustworthy.</w:t>
      </w:r>
      <w:r>
        <w:t xml:space="preserve">”</w:t>
      </w:r>
      <w:r>
        <w:t xml:space="preserve"> </w:t>
      </w:r>
      <w:r>
        <w:t xml:space="preserve">Bahá’u’lláh adds specifically for the Aghsán that</w:t>
      </w:r>
      <w:r>
        <w:t xml:space="preserve"> </w:t>
      </w:r>
      <w:r>
        <w:t xml:space="preserve">“</w:t>
      </w:r>
      <w:r>
        <w:t xml:space="preserve">God has not granted them any right to the property of others.</w:t>
      </w:r>
      <w:r>
        <w:t xml:space="preserve">”</w:t>
      </w:r>
      <w:r>
        <w:t xml:space="preserve"> </w:t>
      </w:r>
      <w:r>
        <w:t xml:space="preserve">Outside of collecting Huqúqu’lláh as an endowment for charity and the Cause of God, the Aghsán had to still earn a living. They have no right to collect any additional property from anyone. They are not the Cause of God.</w:t>
      </w:r>
    </w:p>
    <w:p>
      <w:pPr>
        <w:pStyle w:val="BodyText"/>
      </w:pPr>
      <w:r>
        <w:rPr>
          <w:iCs/>
          <w:i/>
        </w:rPr>
        <w:t xml:space="preserve">Reflection: If wealth can quietly distort spiritual purpose, what safeguards keep an endowment aligned with mercy rather than control?</w:t>
      </w:r>
    </w:p>
    <w:p>
      <w:pPr>
        <w:pStyle w:val="BodyText"/>
      </w:pPr>
      <w:r>
        <w:t xml:space="preserve">That safeguard matters because trusteeship rises or falls on how resources are handled.</w:t>
      </w:r>
    </w:p>
    <w:bookmarkEnd w:id="977"/>
    <w:bookmarkStart w:id="991" w:name="aghsán-the-branches-of-baháulláh"/>
    <w:p>
      <w:pPr>
        <w:pStyle w:val="Heading2"/>
      </w:pPr>
      <w:r>
        <w:t xml:space="preserve">25.3 Aghsán (The Branches of Bahá’u’lláh)</w:t>
      </w:r>
    </w:p>
    <w:p>
      <w:pPr>
        <w:pStyle w:val="FirstParagraph"/>
      </w:pPr>
      <w:r>
        <w:t xml:space="preserve">There are 2 collections of letters Bahá’u’lláh wrote which are unnamed. One is BH00023, which contains letters to the Yazd community through Varqa, a well respected follower in the time of Bahá’u’lláh. The other is BH00057, addressed to believers in Zanjan. Each has a portion which is entirely identical to the other, and both were written in 1881. They include explanations of certain parts of the Kitáb-i-Aqdas and will be referenced regularly in this chapter.</w:t>
      </w:r>
    </w:p>
    <w:p>
      <w:pPr>
        <w:pStyle w:val="BodyText"/>
      </w:pPr>
      <w:r>
        <w:t xml:space="preserve">With the revelation of the Kitáb-i-Aqdas and thereafter, Bahá’u’lláh would refer to branches which were not Himself or a Manifestation of God. Bahá’u’lláh defines the Aghsán as</w:t>
      </w:r>
      <w:r>
        <w:t xml:space="preserve"> </w:t>
      </w:r>
      <w:r>
        <w:t xml:space="preserve">“</w:t>
      </w:r>
      <w:r>
        <w:t xml:space="preserve">the present branches.</w:t>
      </w:r>
      <w:r>
        <w:t xml:space="preserve">”</w:t>
      </w:r>
      <w:r>
        <w:t xml:space="preserve"> </w:t>
      </w:r>
      <w:r>
        <w:t xml:space="preserve">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for whom I am unable to locate a given Ghusn title. BH00017 (unnamed) does describe Ḍíyá as a Branch. Ḍíyá means Radiant. Another son, Ghusn-i-Athar (Mírzá Mihdí), had passed away while in the prison in Akka in 1870. His title meant Pure.</w:t>
      </w:r>
    </w:p>
    <w:p>
      <w:pPr>
        <w:pStyle w:val="BodyText"/>
      </w:pPr>
      <w:r>
        <w:t xml:space="preserve">For every son, there was either a title or name which related to a name of God. In Chapter 1, we described many of the names of God as well as potential dangers if we remove a name of God from our belief. I consider that the entire tree of God, the Sundrat ul Muntahá, would bear the most fruits if all the branches were allowed to manifest these names of God fully.</w:t>
      </w:r>
    </w:p>
    <w:p>
      <w:pPr>
        <w:pStyle w:val="BodyText"/>
      </w:pPr>
      <w:r>
        <w:t xml:space="preserve">In terms of endowments, after Bahá’u’lláh passed away, the Aghsán were responsible for endowments such as Huqúqu’lláh. Bahá’u’lláh did not say one Branch, but that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for endowments, the Holy Spirit was not able to guide their use towards charity and the elevated places of God, such as Mashriq’ul Adhkárs and the Sacred Houses in Shiraz and Baghdad.</w:t>
      </w:r>
    </w:p>
    <w:p>
      <w:pPr>
        <w:pStyle w:val="BodyText"/>
      </w:pPr>
      <w:r>
        <w:t xml:space="preserve">After Ghusn-i-Akbar (Mírzá Muḥammad ’Alí) passed away, the Aghsán were no longer responsible for endowments. Until there are Houses of Justice, such as in your city, these endowments are to be managed by the People of Baha. The People of Baha are not to profit from them.</w:t>
      </w:r>
    </w:p>
    <w:bookmarkStart w:id="978" w:name="serving-on-the-throne"/>
    <w:p>
      <w:pPr>
        <w:pStyle w:val="Heading3"/>
      </w:pPr>
      <w:r>
        <w:t xml:space="preserve">25.3.1 Serving on the Throne</w:t>
      </w:r>
    </w:p>
    <w:p>
      <w:pPr>
        <w:pStyle w:val="FirstParagraph"/>
      </w:pPr>
      <w:r>
        <w:t xml:space="preserve">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pPr>
        <w:pStyle w:val="BodyText"/>
      </w:pPr>
      <w:r>
        <w:t xml:space="preserve">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of the Aghsán, I will provide an example of their service and another example of the praise Bahá’u’lláh gave them.</w:t>
      </w:r>
    </w:p>
    <w:bookmarkEnd w:id="978"/>
    <w:bookmarkStart w:id="981" w:name="in-honor-of-abbás-effendi"/>
    <w:p>
      <w:pPr>
        <w:pStyle w:val="Heading3"/>
      </w:pPr>
      <w:r>
        <w:t xml:space="preserve">25.3.2 In Honor of ’Abbás Effendi</w:t>
      </w:r>
    </w:p>
    <w:p>
      <w:pPr>
        <w:pStyle w:val="FirstParagraph"/>
      </w:pPr>
      <w:r>
        <w:t xml:space="preserve">In respect to his service:</w:t>
      </w:r>
    </w:p>
    <w:p>
      <w:pPr>
        <w:pStyle w:val="BlockText"/>
      </w:pPr>
      <w:r>
        <w:t xml:space="preserve">“</w:t>
      </w:r>
      <w:r>
        <w:t xml:space="preserve">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t xml:space="preserve">”</w:t>
      </w:r>
      <w:r>
        <w:rPr>
          <w:rStyle w:val="FootnoteReference"/>
        </w:rPr>
        <w:footnoteReference w:id="979"/>
      </w:r>
    </w:p>
    <w:p>
      <w:pPr>
        <w:pStyle w:val="FirstParagraph"/>
      </w:pPr>
      <w:r>
        <w:t xml:space="preserve">In honor of his station:</w:t>
      </w:r>
    </w:p>
    <w:p>
      <w:pPr>
        <w:pStyle w:val="BlockText"/>
      </w:pPr>
      <w:r>
        <w:t xml:space="preserve">“He is the One Who speaks as He pleases</w:t>
      </w:r>
    </w:p>
    <w:p>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980"/>
      </w:r>
    </w:p>
    <w:bookmarkEnd w:id="981"/>
    <w:bookmarkStart w:id="984" w:name="in-honor-of-mírzá-muḥammad-alí"/>
    <w:p>
      <w:pPr>
        <w:pStyle w:val="Heading3"/>
      </w:pPr>
      <w:r>
        <w:t xml:space="preserve">25.3.3 In Honor of Mírzá Muḥammad ’Alí</w:t>
      </w:r>
    </w:p>
    <w:p>
      <w:pPr>
        <w:pStyle w:val="FirstParagraph"/>
      </w:pPr>
      <w:r>
        <w:t xml:space="preserve">In respect to his service:</w:t>
      </w:r>
    </w:p>
    <w:p>
      <w:pPr>
        <w:pStyle w:val="BlockText"/>
      </w:pPr>
      <w:r>
        <w:t xml:space="preserve">“</w:t>
      </w:r>
      <w:r>
        <w:t xml:space="preserve">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w:t>
      </w:r>
      <w:r>
        <w:t xml:space="preserve">”</w:t>
      </w:r>
      <w:r>
        <w:t xml:space="preserve"> </w:t>
      </w:r>
      <w:r>
        <w:t xml:space="preserve">there would be no harm if they were sent to European lands.”</w:t>
      </w:r>
      <w:r>
        <w:rPr>
          <w:rStyle w:val="FootnoteReference"/>
        </w:rPr>
        <w:footnoteReference w:id="982"/>
      </w:r>
    </w:p>
    <w:p>
      <w:pPr>
        <w:pStyle w:val="FirstParagraph"/>
      </w:pPr>
      <w:r>
        <w:t xml:space="preserve">In honor of his station:</w:t>
      </w:r>
    </w:p>
    <w:p>
      <w:pPr>
        <w:pStyle w:val="BlockText"/>
      </w:pPr>
      <w:r>
        <w:t xml:space="preserve">“Blessed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pPr>
        <w:pStyle w:val="BlockText"/>
      </w:pPr>
      <w:r>
        <w:t xml:space="preserve">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983"/>
      </w:r>
    </w:p>
    <w:bookmarkEnd w:id="984"/>
    <w:bookmarkStart w:id="987" w:name="X2cc47e32ac164e957b77528e526c4c2f79e532d"/>
    <w:p>
      <w:pPr>
        <w:pStyle w:val="Heading3"/>
      </w:pPr>
      <w:r>
        <w:t xml:space="preserve">25.3.4 In Honor of Ḍíyá’u’lláh (Also known as Zíyá’u’lláh)</w:t>
      </w:r>
    </w:p>
    <w:p>
      <w:pPr>
        <w:pStyle w:val="FirstParagraph"/>
      </w:pPr>
      <w:r>
        <w:t xml:space="preserve">In respect to his service:</w:t>
      </w:r>
    </w:p>
    <w:p>
      <w:pPr>
        <w:pStyle w:val="BlockText"/>
      </w:pPr>
      <w:r>
        <w:t xml:space="preserve">“</w:t>
      </w:r>
      <w:r>
        <w:t xml:space="preserve">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Ḍíyá, one of My Branches, hath presented your letter and made mention of you before Our presence.</w:t>
      </w:r>
      <w:r>
        <w:t xml:space="preserve">”</w:t>
      </w:r>
      <w:r>
        <w:rPr>
          <w:rStyle w:val="FootnoteReference"/>
        </w:rPr>
        <w:footnoteReference w:id="985"/>
      </w:r>
    </w:p>
    <w:p>
      <w:pPr>
        <w:pStyle w:val="FirstParagraph"/>
      </w:pPr>
      <w:r>
        <w:t xml:space="preserve">In honor of his station:</w:t>
      </w:r>
    </w:p>
    <w:p>
      <w:pPr>
        <w:pStyle w:val="BlockText"/>
      </w:pPr>
      <w:r>
        <w:t xml:space="preserve">“</w:t>
      </w:r>
      <w:r>
        <w:t xml:space="preserve">At this moment, one of the Branches of the Blessed Tree, His Holiness Ḍíyá, is present before Us. We have commanded him to pen this Tablet, from whose horizon’s heaven hath shone forth the light of God’s mercy, the Lord of the worlds.</w:t>
      </w:r>
      <w:r>
        <w:t xml:space="preserve">”</w:t>
      </w:r>
      <w:r>
        <w:rPr>
          <w:rStyle w:val="FootnoteReference"/>
        </w:rPr>
        <w:footnoteReference w:id="986"/>
      </w:r>
    </w:p>
    <w:bookmarkEnd w:id="987"/>
    <w:bookmarkStart w:id="990" w:name="in-honor-of-badíulláh"/>
    <w:p>
      <w:pPr>
        <w:pStyle w:val="Heading3"/>
      </w:pPr>
      <w:r>
        <w:t xml:space="preserve">25.3.5 In Honor of Badí’u’lláh</w:t>
      </w:r>
    </w:p>
    <w:p>
      <w:pPr>
        <w:pStyle w:val="FirstParagraph"/>
      </w:pPr>
      <w:r>
        <w:t xml:space="preserve">In respect to his service:</w:t>
      </w:r>
    </w:p>
    <w:p>
      <w:pPr>
        <w:pStyle w:val="BlockText"/>
      </w:pPr>
      <w:r>
        <w:t xml:space="preserve">“O Mirza ’Ali-Akbar-i-Milani, upon him be the Glory of God!</w:t>
      </w:r>
    </w:p>
    <w:p>
      <w:pPr>
        <w:pStyle w:val="BlockText"/>
      </w:pPr>
      <w:r>
        <w:t xml:space="preserve">In My Name, the Caller between earth and heaven! One of My Branches, who hath been named Badí’u’lláh, hath presented thy letter before Our Face. We answer thee through this perspicuous Tablet.”</w:t>
      </w:r>
      <w:r>
        <w:rPr>
          <w:rStyle w:val="FootnoteReference"/>
        </w:rPr>
        <w:footnoteReference w:id="988"/>
      </w:r>
    </w:p>
    <w:p>
      <w:pPr>
        <w:pStyle w:val="FirstParagraph"/>
      </w:pPr>
      <w:r>
        <w:t xml:space="preserve">In honor of his station:</w:t>
      </w:r>
    </w:p>
    <w:p>
      <w:pPr>
        <w:pStyle w:val="BlockText"/>
      </w:pPr>
      <w:r>
        <w:t xml:space="preserve">“</w:t>
      </w:r>
      <w:r>
        <w:t xml:space="preserve">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t xml:space="preserve">”</w:t>
      </w:r>
      <w:r>
        <w:rPr>
          <w:rStyle w:val="FootnoteReference"/>
        </w:rPr>
        <w:footnoteReference w:id="989"/>
      </w:r>
    </w:p>
    <w:p>
      <w:pPr>
        <w:pStyle w:val="FirstParagraph"/>
      </w:pPr>
      <w:r>
        <w:rPr>
          <w:iCs/>
          <w:i/>
        </w:rPr>
        <w:t xml:space="preserve">Reflection: What kind of leadership becomes possible when service, consultation, and restraint are treated as the signs of spiritual station?</w:t>
      </w:r>
    </w:p>
    <w:p>
      <w:pPr>
        <w:pStyle w:val="BodyText"/>
      </w:pPr>
      <w:r>
        <w:t xml:space="preserve">This prepares us to see what the Book actually asks of those entrusted with guidance.</w:t>
      </w:r>
    </w:p>
    <w:bookmarkEnd w:id="990"/>
    <w:bookmarkEnd w:id="991"/>
    <w:bookmarkStart w:id="993" w:name="answering-questions-about-the-book"/>
    <w:p>
      <w:pPr>
        <w:pStyle w:val="Heading2"/>
      </w:pPr>
      <w:r>
        <w:t xml:space="preserve">25.4 Answering Questions About the Book</w:t>
      </w:r>
    </w:p>
    <w:p>
      <w:pPr>
        <w:pStyle w:val="FirstParagraph"/>
      </w:pPr>
      <w:r>
        <w:t xml:space="preserve">Bahá’u’lláh instructs us to</w:t>
      </w:r>
      <w:r>
        <w:t xml:space="preserve"> </w:t>
      </w:r>
      <w:r>
        <w:t xml:space="preserve">“</w:t>
      </w:r>
      <w:r>
        <w:t xml:space="preserve">refer what you do not understand from the Book to the Branch that has branched forth from this mighty Root.</w:t>
      </w:r>
      <w:r>
        <w:t xml:space="preserve">”</w:t>
      </w:r>
      <w:r>
        <w:rPr>
          <w:rStyle w:val="FootnoteReference"/>
        </w:rPr>
        <w:footnoteReference w:id="992"/>
      </w:r>
      <w:r>
        <w:t xml:space="preserve"> </w:t>
      </w:r>
      <w:r>
        <w:t xml:space="preserve">He further explains this in the letters to Yazd and Zanjan. He says the Book refers to the Kitáb-i-Aqdas and the Branch that has branched forth from this mighty Root refers to the Aghsán.</w:t>
      </w:r>
    </w:p>
    <w:p>
      <w:pPr>
        <w:pStyle w:val="BodyText"/>
      </w:pPr>
      <w:r>
        <w:t xml:space="preserve">This is an extremely specific responsibility for the Aghsán as a consultative body. As we have learned throughout this book, Bahá’u’lláh repeatedly nurtures this sense of self-discovery,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pPr>
        <w:pStyle w:val="BodyText"/>
      </w:pPr>
      <w:r>
        <w:t xml:space="preserve">Bahá’u’lláh starts the counsel with a conditional statement:</w:t>
      </w:r>
      <w:r>
        <w:t xml:space="preserve"> </w:t>
      </w:r>
      <w:r>
        <w:t xml:space="preserve">“</w:t>
      </w:r>
      <w:r>
        <w:t xml:space="preserve">Refer what you do not understand.</w:t>
      </w:r>
      <w:r>
        <w:t xml:space="preserve">”</w:t>
      </w:r>
      <w:r>
        <w:t xml:space="preserve"> </w:t>
      </w:r>
      <w:r>
        <w:t xml:space="preserve">Bahá’u’lláh invites us in paragraph #53 to refer to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pPr>
        <w:pStyle w:val="BodyText"/>
      </w:pPr>
      <w:r>
        <w:t xml:space="preserve">The second phrase says,</w:t>
      </w:r>
      <w:r>
        <w:t xml:space="preserve"> </w:t>
      </w:r>
      <w:r>
        <w:t xml:space="preserve">“</w:t>
      </w:r>
      <w:r>
        <w:t xml:space="preserve">from the Book.</w:t>
      </w:r>
      <w:r>
        <w:t xml:space="preserve">”</w:t>
      </w:r>
      <w:r>
        <w:t xml:space="preserve"> </w:t>
      </w:r>
      <w:r>
        <w:t xml:space="preserve">This phrase purposefully narrows the scope even further. In BH00023 and BH00057, the Book is explicitly defined as the Kitáb-i-Aqdas and the Kitáb-i-Aqdas only. This means we refer only that which we do not understand of the Kitáb-i-Aqdas. This does not include any other book or writing.</w:t>
      </w:r>
    </w:p>
    <w:p>
      <w:pPr>
        <w:pStyle w:val="BodyText"/>
      </w:pPr>
      <w:r>
        <w:t xml:space="preserve">As it appears, the Aghsán were to consult together whenever a particular believer attempted to understand the Kitáb-i-Aqdas but was unable to. The result of this consultation would be guided by the Holy Spirit. Bahá’u’lláh did not express any teaching that the understanding of the Aghsán would replace other believers’ understandings. The consultation was for the individual who did not understand, completely within the context of what they asked and understood already. I envision the Aghsán’s role to be like that of scholars whom Bahá’u’lláh commanded us to turn to. While guided by the Holy Spirit, it may not encompass the entirety of the Most Great Ocean. This consultation would be incredibly valuable for the community.</w:t>
      </w:r>
    </w:p>
    <w:p>
      <w:pPr>
        <w:pStyle w:val="BodyText"/>
      </w:pPr>
      <w:r>
        <w:t xml:space="preserve">Again, this did not happen.</w:t>
      </w:r>
    </w:p>
    <w:p>
      <w:pPr>
        <w:pStyle w:val="BodyText"/>
      </w:pPr>
      <w:r>
        <w:rPr>
          <w:iCs/>
          <w:i/>
        </w:rPr>
        <w:t xml:space="preserve">Reflection: When you struggle to understand a law, what would it look like to seek help without surrendering your own conscience and responsibility?</w:t>
      </w:r>
    </w:p>
    <w:p>
      <w:pPr>
        <w:pStyle w:val="BodyText"/>
      </w:pPr>
      <w:r>
        <w:t xml:space="preserve">That balance matters because a community can either mature through consultation or regress into dependence.</w:t>
      </w:r>
    </w:p>
    <w:bookmarkEnd w:id="993"/>
    <w:bookmarkStart w:id="994" w:name="the-branch-to-turn-towards"/>
    <w:p>
      <w:pPr>
        <w:pStyle w:val="Heading2"/>
      </w:pPr>
      <w:r>
        <w:t xml:space="preserve">25.5 The Branch to Turn Towards</w:t>
      </w:r>
    </w:p>
    <w:p>
      <w:pPr>
        <w:pStyle w:val="FirstParagraph"/>
      </w:pPr>
      <w:r>
        <w:t xml:space="preserve">The last part of the Kitáb-i-Aqdas which describes spiritual successorship is from paragraph 121.</w:t>
      </w:r>
      <w:r>
        <w:t xml:space="preserve"> </w:t>
      </w:r>
      <w:r>
        <w:t xml:space="preserve">“</w:t>
      </w:r>
      <w:r>
        <w:t xml:space="preserve">When the sea of reunion is stilled, and the Book of Origin reaches its end, turn towards Him whom God has willed, the one who branched from this ancient Root.</w:t>
      </w:r>
      <w:r>
        <w:t xml:space="preserve">”</w:t>
      </w:r>
      <w:r>
        <w:t xml:space="preserve"> </w:t>
      </w:r>
      <w:r>
        <w:t xml:space="preserve">The letters to Yazd and Zanjan also explain this. Bahá’u’lláh responds clearly to the inquiry:</w:t>
      </w:r>
    </w:p>
    <w:p>
      <w:pPr>
        <w:pStyle w:val="BlockText"/>
      </w:pPr>
      <w:r>
        <w:t xml:space="preserve">“</w:t>
      </w:r>
      <w:r>
        <w:t xml:space="preserve">The divine intention refers to His Holiness, the Most Great Branch, and after him, His Holiness, the Most Mighty Branch. My spirit, essence, and being are a sacrifice for the dust of their feet.</w:t>
      </w:r>
      <w:r>
        <w:t xml:space="preserve">”</w:t>
      </w:r>
    </w:p>
    <w:p>
      <w:pPr>
        <w:pStyle w:val="FirstParagraph"/>
      </w:pPr>
      <w:r>
        <w:t xml:space="preserve">Bahá’u’lláh bestows great honor upon ’Abbás Effendi and Mírzá Muḥammad ’Alí. Bahá’u’lláh used the phrase</w:t>
      </w:r>
      <w:r>
        <w:t xml:space="preserve"> </w:t>
      </w:r>
      <w:r>
        <w:t xml:space="preserve">“</w:t>
      </w:r>
      <w:r>
        <w:t xml:space="preserve">turn towards.</w:t>
      </w:r>
      <w:r>
        <w:t xml:space="preserve">”</w:t>
      </w:r>
      <w:r>
        <w:t xml:space="preserve"> </w:t>
      </w:r>
      <w:r>
        <w:t xml:space="preserve">I understand this as meaning that ’Abbás Effendi has a responsibility, but he is not given any particular rights. While holding a high station, Bahá’u’lláh’s leadership model does not change. Throughout the book, we describe how Bahá’u’lláh taught trusteeship at every level of society. Parents and monarchs and every level in between are to lead as trustees over that which they are entrusted with.</w:t>
      </w:r>
    </w:p>
    <w:p>
      <w:pPr>
        <w:pStyle w:val="BodyText"/>
      </w:pPr>
      <w:r>
        <w:t xml:space="preserve">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pPr>
        <w:pStyle w:val="BodyText"/>
      </w:pPr>
      <w:r>
        <w:t xml:space="preserve">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pPr>
        <w:pStyle w:val="BodyText"/>
      </w:pPr>
      <w:r>
        <w:t xml:space="preserve">None of the Branches had the authority to deprive any person of their rights, to deny anyone their responsibilities, nor to change the law of Bahá’u’lláh. Again, this did not happen.</w:t>
      </w:r>
    </w:p>
    <w:p>
      <w:pPr>
        <w:pStyle w:val="BodyText"/>
      </w:pPr>
      <w:r>
        <w:rPr>
          <w:iCs/>
          <w:i/>
        </w:rPr>
        <w:t xml:space="preserve">Reflection: If</w:t>
      </w:r>
      <w:r>
        <w:rPr>
          <w:iCs/>
          <w:i/>
        </w:rPr>
        <w:t xml:space="preserve"> </w:t>
      </w:r>
      <w:r>
        <w:rPr>
          <w:iCs/>
          <w:i/>
        </w:rPr>
        <w:t xml:space="preserve">“</w:t>
      </w:r>
      <w:r>
        <w:rPr>
          <w:iCs/>
          <w:i/>
        </w:rPr>
        <w:t xml:space="preserve">turning towards</w:t>
      </w:r>
      <w:r>
        <w:rPr>
          <w:iCs/>
          <w:i/>
        </w:rPr>
        <w:t xml:space="preserve">”</w:t>
      </w:r>
      <w:r>
        <w:rPr>
          <w:iCs/>
          <w:i/>
        </w:rPr>
        <w:t xml:space="preserve"> </w:t>
      </w:r>
      <w:r>
        <w:rPr>
          <w:iCs/>
          <w:i/>
        </w:rPr>
        <w:t xml:space="preserve">can be read as responsibility without entitlement, what protections does that create for the soul?</w:t>
      </w:r>
    </w:p>
    <w:p>
      <w:pPr>
        <w:pStyle w:val="BodyText"/>
      </w:pPr>
      <w:r>
        <w:t xml:space="preserve">Those protections matter because spiritual successorship only works when the Book remains the standard.</w:t>
      </w:r>
    </w:p>
    <w:bookmarkEnd w:id="994"/>
    <w:bookmarkStart w:id="996" w:name="the-kitáb-i-ahd-the-book-of-my-covenant"/>
    <w:p>
      <w:pPr>
        <w:pStyle w:val="Heading2"/>
      </w:pPr>
      <w:r>
        <w:t xml:space="preserve">25.6 The Kitáb-i-’Ahd (The Book of My Covenant)</w:t>
      </w:r>
    </w:p>
    <w:p>
      <w:pPr>
        <w:pStyle w:val="FirstParagraph"/>
      </w:pPr>
      <w:r>
        <w:t xml:space="preserve">After Bahá’u’lláh passed away, this document was read and shared with the community. We shared the very first teaching within it regarding wealth. Bahá’u’lláh teaches that the purpose of His revelation was</w:t>
      </w:r>
      <w:r>
        <w:t xml:space="preserve"> </w:t>
      </w:r>
      <w:r>
        <w:t xml:space="preserve">“</w:t>
      </w:r>
      <w:r>
        <w:t xml:space="preserve">to extinguish the flames of malice and hatred, so that the horizons of the hearts of the people of the world may be illuminated with the light of unity and attain true tranquility.</w:t>
      </w:r>
      <w:r>
        <w:t xml:space="preserve">”</w:t>
      </w:r>
      <w:r>
        <w:t xml:space="preserve"> </w:t>
      </w:r>
      <w:r>
        <w:t xml:space="preserve">He promises that our human station is great. He reminds us to hold firm to the Divine Command.</w:t>
      </w:r>
    </w:p>
    <w:p>
      <w:pPr>
        <w:pStyle w:val="BodyText"/>
      </w:pPr>
      <w:r>
        <w:t xml:space="preserve">Bahá’u’lláh describes all religion to be for love and unity. Strife and contention are forbidden. He offers blessings for those who lead, especially those who believe in the Divine Command. His purpose is for the Kitáb-i-Aqdas to shine radiantly and rise in the horizon. He warns us not to make the Cause of God a tool for disorder and division. We are to say,</w:t>
      </w:r>
      <w:r>
        <w:t xml:space="preserve"> </w:t>
      </w:r>
      <w:r>
        <w:t xml:space="preserve">“</w:t>
      </w:r>
      <w:r>
        <w:t xml:space="preserve">All are from God.</w:t>
      </w:r>
      <w:r>
        <w:t xml:space="preserve">”</w:t>
      </w:r>
    </w:p>
    <w:p>
      <w:pPr>
        <w:pStyle w:val="BodyText"/>
      </w:pPr>
      <w:r>
        <w:t xml:space="preserve">Bahá’u’lláh reiterates His explanations from the letters to Zanjan and Yazd. He says,</w:t>
      </w:r>
      <w:r>
        <w:t xml:space="preserve"> </w:t>
      </w:r>
      <w:r>
        <w:t xml:space="preserve">“</w:t>
      </w:r>
      <w:r>
        <w:t xml:space="preserve">We have chosen the Most Mighty Branch after the Most Great Branch as a matter from the All Knowing, the All Aware.</w:t>
      </w:r>
      <w:r>
        <w:t xml:space="preserve">”</w:t>
      </w:r>
      <w:r>
        <w:t xml:space="preserve"> </w:t>
      </w:r>
      <w:r>
        <w:t xml:space="preserve">He counsels that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mostly been unavailable to the People of Baha, the Sacred Family is honored repeatedly for their service and devotion to the Cause of God. Their respect and love is well earned.</w:t>
      </w:r>
    </w:p>
    <w:p>
      <w:pPr>
        <w:pStyle w:val="BodyText"/>
      </w:pPr>
      <w:r>
        <w:t xml:space="preserve">Sadly, these things in the Kitáb-i-’Ahd did not happen.</w:t>
      </w:r>
    </w:p>
    <w:bookmarkStart w:id="995" w:name="the-testament-requires-trusteeship"/>
    <w:p>
      <w:pPr>
        <w:pStyle w:val="Heading3"/>
      </w:pPr>
      <w:r>
        <w:t xml:space="preserve">25.6.1 The Testament Requires Trusteeship</w:t>
      </w:r>
    </w:p>
    <w:p>
      <w:pPr>
        <w:pStyle w:val="FirstParagraph"/>
      </w:pPr>
      <w:r>
        <w:t xml:space="preserve">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self-exaltation and the proceeding inability to consult. When one Branch took sole authority, the subtle design was broken. It broke the equation of Oneness. Consultation, guided by the Holy Spirit, requires the process designed by God through Bahá’u’lláh. By reducing consultation to a single person’s decree, the Holy Spirit could no longer be active.</w:t>
      </w:r>
    </w:p>
    <w:p>
      <w:pPr>
        <w:pStyle w:val="BodyText"/>
      </w:pPr>
      <w:r>
        <w:t xml:space="preserve">The People of Baha were denied the active force of the Holy Spirit.</w:t>
      </w:r>
    </w:p>
    <w:p>
      <w:pPr>
        <w:pStyle w:val="BodyText"/>
      </w:pPr>
      <w:r>
        <w:t xml:space="preserve">I want to close this section on the Aghsán with an excerpt from the Tablet of Khalil, written sometime when Bahá’u’lláh was in Edirne. When asked about His sons (who are not called Branches yet), He says:</w:t>
      </w:r>
    </w:p>
    <w:p>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pPr>
        <w:pStyle w:val="BlockText"/>
      </w:pPr>
      <w:r>
        <w:t xml:space="preserve">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pPr>
        <w:pStyle w:val="FirstParagraph"/>
      </w:pPr>
      <w:r>
        <w:t xml:space="preserve">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pPr>
        <w:pStyle w:val="BodyText"/>
      </w:pPr>
      <w:r>
        <w:rPr>
          <w:iCs/>
          <w:i/>
        </w:rPr>
        <w:t xml:space="preserve">Reflection: If trusteeship is the moral heart of a testament, what happens to a community when trusteeship becomes personal rule?</w:t>
      </w:r>
    </w:p>
    <w:p>
      <w:pPr>
        <w:pStyle w:val="BodyText"/>
      </w:pPr>
      <w:r>
        <w:t xml:space="preserve">Seeing that consequence clearly is what makes the next steps feel urgent rather than abstract.</w:t>
      </w:r>
    </w:p>
    <w:bookmarkEnd w:id="995"/>
    <w:bookmarkEnd w:id="996"/>
    <w:bookmarkStart w:id="997" w:name="the-path-forward"/>
    <w:p>
      <w:pPr>
        <w:pStyle w:val="Heading2"/>
      </w:pPr>
      <w:r>
        <w:t xml:space="preserve">25.7 The Path Forward</w:t>
      </w:r>
    </w:p>
    <w:p>
      <w:pPr>
        <w:pStyle w:val="FirstParagraph"/>
      </w:pPr>
      <w:r>
        <w:t xml:space="preserve">While the Aghsán were unable to fulfill their purpose, we still have a path forward. Bahá’u’lláh taught that after the Aghsán, if the Houses of Justice are not yet established, the People of Baha are the spiritual successors. As you read this, you might be a Person of Baha. I invite you to this path forward, because liberation is not only promised. It is practiced.</w:t>
      </w:r>
    </w:p>
    <w:p>
      <w:pPr>
        <w:pStyle w:val="BodyText"/>
      </w:pPr>
      <w:r>
        <w:t xml:space="preserve">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pPr>
        <w:pStyle w:val="BodyText"/>
      </w:pPr>
      <w:r>
        <w:t xml:space="preserve">I believe this all starts with honoring not only the Kitáb-i-Aqdas, but also Bahá’u’lláh’s Testaments. If you hold any malice towards any of Bahá’u’lláh’s family, let it go. It is in the past. Pray for their spiritual well being and union with God. If you hold onto any notions of infallibility, let them go. Infallibility is reserved for the next Manifestation of God, which will exist no earlier than 1,000 years after Bahá’u’lláh, and no later than the Báb’s concept of Mustagháth (2001 years). Today is today and tomorrow is tomorrow.</w:t>
      </w:r>
    </w:p>
    <w:p>
      <w:pPr>
        <w:pStyle w:val="BodyText"/>
      </w:pPr>
      <w:r>
        <w:t xml:space="preserve">To close, spiritual successorship is not only a story about what failed. It is a call to restore trusteeship as a living ethic, so that authority serves the Book and the people, rather than people serving authority. The next chapter will focus on Trusteeship Governance, where we put the various concepts of Part 4 together. This is a path we can all walk on together in the name of Baha, and in honor of His ministry.</w:t>
      </w:r>
    </w:p>
    <w:p>
      <w:r>
        <w:br w:type="page"/>
      </w:r>
    </w:p>
    <w:bookmarkEnd w:id="997"/>
    <w:bookmarkEnd w:id="998"/>
    <w:bookmarkStart w:id="1009" w:name="peace"/>
    <w:p>
      <w:pPr>
        <w:pStyle w:val="Heading1"/>
      </w:pPr>
      <w:r>
        <w:t xml:space="preserve">26. Peace</w:t>
      </w:r>
    </w:p>
    <w:p>
      <w:pPr>
        <w:pStyle w:val="FirstParagraph"/>
      </w:pPr>
      <w:r>
        <w:t xml:space="preserve">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by miracles which defy the mathematical order God designed within everything. Peace is not established by brute force and sheer acts of omnipotent and omnipresent power. God is Most Subtle. Peace is the design of everything. When we look inward, there is One. When we look outward, there is One. Every multiplicity is from One and returns to One. Every Váḥid leads to One. Every birth and death leads to One. Every first and every last adds up to One. Peace is the end result of living within this reality, which is the foundational reality of all things.</w:t>
      </w:r>
    </w:p>
    <w:p>
      <w:pPr>
        <w:pStyle w:val="BodyText"/>
      </w:pPr>
      <w:r>
        <w:t xml:space="preserve">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for every level of society. All of these levels are made of individuals just like you.</w:t>
      </w:r>
    </w:p>
    <w:p>
      <w:pPr>
        <w:pStyle w:val="BodyText"/>
      </w:pPr>
      <w:r>
        <w:t xml:space="preserve">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that counterfeit purity and oneness through oppressive man-made mechanisms, we are agents of the reordering of the world. We live Oneness together. This is achieving true liberation.</w:t>
      </w:r>
    </w:p>
    <w:bookmarkStart w:id="1002" w:name="the-most-great-peace"/>
    <w:p>
      <w:pPr>
        <w:pStyle w:val="Heading2"/>
      </w:pPr>
      <w:r>
        <w:t xml:space="preserve">26.1 The Most Great Peace</w:t>
      </w:r>
    </w:p>
    <w:p>
      <w:pPr>
        <w:pStyle w:val="FirstParagraph"/>
      </w:pPr>
      <w:r>
        <w:t xml:space="preserve">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999"/>
      </w:r>
      <w:r>
        <w:t xml:space="preserve"> </w:t>
      </w:r>
      <w:r>
        <w:t xml:space="preserve">This is not a top down enforcement of belief, but the final maturation of the Stage 1 Propagation authority granted to the House by a unified humanity.</w:t>
      </w:r>
    </w:p>
    <w:bookmarkStart w:id="1000" w:name="the-lesser-peace"/>
    <w:p>
      <w:pPr>
        <w:pStyle w:val="Heading3"/>
      </w:pPr>
      <w:r>
        <w:t xml:space="preserve">26.1.1 The Lesser Peace</w:t>
      </w:r>
    </w:p>
    <w:p>
      <w:pPr>
        <w:pStyle w:val="FirstParagraph"/>
      </w:pPr>
      <w:r>
        <w:t xml:space="preserve">Bahá’u’lláh’s Epistle to the Son of the Wolf is a great review of many overarching themes Bahá’u’lláh taught throughout His ministry. One of these themes is the Lesser Peace, which He describes as the greatest cause of the preservation of the world. It is not the only cause for the preservation of the world, but I read this to mean that there is risk that the world may not be preserved if the Lesser Peace is not pursued. Without the Lesser Peace, the world may remain trapped in the cycles of retribution we saw on the banks of the Rhine and in the streets of Berlin, where unconstrained force replaces the fear of God.</w:t>
      </w:r>
    </w:p>
    <w:p>
      <w:pPr>
        <w:pStyle w:val="BodyText"/>
      </w:pPr>
      <w:r>
        <w:t xml:space="preserve">The first responsibility for establishing the Lesser Peace belongs to the kings of the world, who are the dawning places of wealth and power. Bahá’u’lláh describes that they should establish an assembly where they, or the ministers who act on their behalf, create a decree of unity between nations. They should also agree to limit weapons to only that which is necessary for the defense of their nations. Bahá’u’lláh says that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pPr>
        <w:pStyle w:val="BodyText"/>
      </w:pPr>
      <w:r>
        <w:t xml:space="preserve">The purpose of the Lesser Peace is not solely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bookmarkEnd w:id="1000"/>
    <w:bookmarkStart w:id="1001" w:name="trusteeship-is-required-for-peace"/>
    <w:p>
      <w:pPr>
        <w:pStyle w:val="Heading3"/>
      </w:pPr>
      <w:r>
        <w:t xml:space="preserve">26.1.2 Trusteeship Is Required for Peace</w:t>
      </w:r>
    </w:p>
    <w:p>
      <w:pPr>
        <w:pStyle w:val="FirstParagraph"/>
      </w:pPr>
      <w:r>
        <w:t xml:space="preserve">Trusteeship is required in order to achieve either form of peace. World, religious, and even business leaders need to be able to view their wealth, power, and influence not in terms of domination, extraction, extortion, or status, but instead to view their uncanny abilities to lead as a trusteeship towards all. A leader must first be a Witness of the people’s suffering before they can be a Helper to their liberation.</w:t>
      </w:r>
    </w:p>
    <w:p>
      <w:pPr>
        <w:pStyle w:val="BodyText"/>
      </w:pPr>
      <w:r>
        <w:t xml:space="preserve">This concept is affirmed in the Kitáb-i-’Ahd’s final paragraph, where Bahá’u’lláh states His Will and Testament. Those who lived when Bahá’u’lláh lived would hear His final words being read, where He says:</w:t>
      </w:r>
    </w:p>
    <w:p>
      <w:pPr>
        <w:pStyle w:val="BlockText"/>
      </w:pPr>
      <w:r>
        <w:t xml:space="preserve">“</w:t>
      </w:r>
      <w:r>
        <w:t xml:space="preserve">I counsel you to serve the nations and reform the world. From the Kingdom of the Bayán, what has been revealed is intended for the life of the world and the salvation of the nations.</w:t>
      </w:r>
      <w:r>
        <w:t xml:space="preserve">”</w:t>
      </w:r>
    </w:p>
    <w:p>
      <w:pPr>
        <w:pStyle w:val="FirstParagraph"/>
      </w:pPr>
      <w:r>
        <w:t xml:space="preserve">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pPr>
        <w:pStyle w:val="BodyText"/>
      </w:pPr>
      <w:r>
        <w:rPr>
          <w:iCs/>
          <w:i/>
        </w:rPr>
        <w:t xml:space="preserve">Reflection: Where in your own life have you seen that peace requires design, not force, and what would it mean to trust that design?</w:t>
      </w:r>
    </w:p>
    <w:p>
      <w:pPr>
        <w:pStyle w:val="BodyText"/>
      </w:pPr>
      <w:r>
        <w:t xml:space="preserve">Now we move from spiritual principle into social structure, because peace has a form as well as a spirit.</w:t>
      </w:r>
    </w:p>
    <w:bookmarkEnd w:id="1001"/>
    <w:bookmarkEnd w:id="1002"/>
    <w:bookmarkStart w:id="1003" w:name="a-world-assembly"/>
    <w:p>
      <w:pPr>
        <w:pStyle w:val="Heading2"/>
      </w:pPr>
      <w:r>
        <w:t xml:space="preserve">26.2 A World Assembly</w:t>
      </w:r>
    </w:p>
    <w:p>
      <w:pPr>
        <w:pStyle w:val="FirstParagraph"/>
      </w:pPr>
      <w:r>
        <w:t xml:space="preserve">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pPr>
        <w:pStyle w:val="BodyText"/>
      </w:pPr>
      <w:r>
        <w:t xml:space="preserve">There is no prerequisite required to convene a Lesser Peace assembly. This means that it is not limited to the type of government a nation has. The participating governments can be decentralized or centralized power structures, capitalist or socialist economies, single party or multiparty, and led by civilians or the military. Bahá’u’lláh did not describe any qualifications other than that the attendees are sovereign leaders or the ministers acting on their behalf.</w:t>
      </w:r>
    </w:p>
    <w:p>
      <w:pPr>
        <w:pStyle w:val="BodyText"/>
      </w:pPr>
      <w:r>
        <w:t xml:space="preserve">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pPr>
        <w:pStyle w:val="BodyText"/>
      </w:pPr>
      <w:r>
        <w:t xml:space="preserve">The Lesser Peace assembly would utilize the consultative process of</w:t>
      </w:r>
      <w:r>
        <w:t xml:space="preserve"> </w:t>
      </w:r>
      <w:r>
        <w:t xml:space="preserve">“</w:t>
      </w:r>
      <w:r>
        <w:t xml:space="preserve">adorning the two with a third</w:t>
      </w:r>
      <w:r>
        <w:t xml:space="preserve">”</w:t>
      </w:r>
      <w:r>
        <w:t xml:space="preserve"> </w:t>
      </w:r>
      <w:r>
        <w:t xml:space="preserve">to find a synthesis of truth. By adding new souls to a disagreement and drawing lots if necessary, the assembly moves past political stalemates into a space where the Holy Spirit can confirm a path forward.</w:t>
      </w:r>
    </w:p>
    <w:p>
      <w:pPr>
        <w:pStyle w:val="BodyText"/>
      </w:pPr>
      <w:r>
        <w:t xml:space="preserve">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pPr>
        <w:pStyle w:val="BodyText"/>
      </w:pPr>
      <w:r>
        <w:rPr>
          <w:iCs/>
          <w:i/>
        </w:rPr>
        <w:t xml:space="preserve">Reflection: If an assembly is simply people gathering for a shared purpose, what would it take for nations to meet with trusteeship instead of rivalry?</w:t>
      </w:r>
    </w:p>
    <w:p>
      <w:pPr>
        <w:pStyle w:val="BodyText"/>
      </w:pPr>
      <w:r>
        <w:t xml:space="preserve">That shift sets the stage for peace to move from aspiration into binding practice.</w:t>
      </w:r>
    </w:p>
    <w:bookmarkEnd w:id="1003"/>
    <w:bookmarkStart w:id="1004" w:name="a-common-affair"/>
    <w:p>
      <w:pPr>
        <w:pStyle w:val="Heading2"/>
      </w:pPr>
      <w:r>
        <w:t xml:space="preserve">26.3 A Common Affair</w:t>
      </w:r>
    </w:p>
    <w:p>
      <w:pPr>
        <w:pStyle w:val="FirstParagraph"/>
      </w:pPr>
      <w:r>
        <w:t xml:space="preserve">The Most Great Peace has two modes. The first mode of achievement is to work towards a common affair. An affair is a transaction or another matter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pPr>
        <w:pStyle w:val="BodyText"/>
      </w:pPr>
      <w:r>
        <w:t xml:space="preserve">Nations retain their sovereignty and cannot be forced. An affair must genuinely be common. This means nations with relative strength cannot bully or coerce another state. The people of all nations have the same rights listed in this book, even if the nation they live in does not honor those rights.</w:t>
      </w:r>
    </w:p>
    <w:p>
      <w:pPr>
        <w:pStyle w:val="BodyText"/>
      </w:pPr>
      <w:r>
        <w:t xml:space="preserve">Houses of Justice at the city level can help be public figures of these rights and causes. If a House of Justice is able to attain the fifth level of authority, it can guide its nation towards the common affairs of all nations. However, a sovereign leader can also call for assemblies of common affairs as we progress to the Most Great Peace.</w:t>
      </w:r>
    </w:p>
    <w:p>
      <w:pPr>
        <w:pStyle w:val="BodyText"/>
      </w:pPr>
      <w:r>
        <w:rPr>
          <w:iCs/>
          <w:i/>
        </w:rPr>
        <w:t xml:space="preserve">Reflection: What common affair feels most urgent to you, and how would you recognize it as genuinely common rather than politically convenient?</w:t>
      </w:r>
    </w:p>
    <w:p>
      <w:pPr>
        <w:pStyle w:val="BodyText"/>
      </w:pPr>
      <w:r>
        <w:t xml:space="preserve">Answering that keeps the Most Great Peace grounded in realities that protect the vulnerable.</w:t>
      </w:r>
    </w:p>
    <w:bookmarkEnd w:id="1004"/>
    <w:bookmarkStart w:id="1005" w:name="unification-of-religion"/>
    <w:p>
      <w:pPr>
        <w:pStyle w:val="Heading2"/>
      </w:pPr>
      <w:r>
        <w:t xml:space="preserve">26.4 Unification of Religion</w:t>
      </w:r>
    </w:p>
    <w:p>
      <w:pPr>
        <w:pStyle w:val="FirstParagraph"/>
      </w:pPr>
      <w:r>
        <w:t xml:space="preserve">The second mode of the Most Great Peace is the unification of religion. I feel it might be common to view this principle as meaning that all people are part of the same religion or of a dominant majority. Instead, I see three potential parallel pathways by which unification can take shape. These pathways represent the liberation of the illusions and desires of sectarianism. Whether through the direct recognition of Bahá’u’lláh or through the evolution of existing traditions, the goal is a constellation of faith that guides humanity towards a single horizon.</w:t>
      </w:r>
    </w:p>
    <w:p>
      <w:pPr>
        <w:pStyle w:val="BodyText"/>
      </w:pPr>
      <w:r>
        <w:t xml:space="preserve">Parallel Pathway #1: The world increasingly becomes more aware of Bahá’u’lláh and the Kitáb-i-Aqdas. They learn about the Cause of God, the liberation of souls and societies, and believe Bahá’u’lláh is from God.</w:t>
      </w:r>
    </w:p>
    <w:p>
      <w:pPr>
        <w:pStyle w:val="BodyText"/>
      </w:pPr>
      <w:r>
        <w:t xml:space="preserve">Parallel Pathway #2: The religions of the world start to naturally adopt many of the teachings and beliefs of Bahá’u’lláh, such as the abolition of holy war and the full equality of women. These religions retain their names, their rituals, and their traditions, but evolve.</w:t>
      </w:r>
    </w:p>
    <w:p>
      <w:pPr>
        <w:pStyle w:val="BodyText"/>
      </w:pPr>
      <w:r>
        <w:t xml:space="preserve">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would lead to courtship, engagement, and marriage approved through the consent of both spouses and both sets of parents?</w:t>
      </w:r>
    </w:p>
    <w:p>
      <w:pPr>
        <w:pStyle w:val="BodyText"/>
      </w:pPr>
      <w:r>
        <w:t xml:space="preserve">None of these pathways are mutually exclusive, and each can occur alongside the others. The worldwide House of Justice can work towards each of these three pathways, or any other parallel pathway identified. Assemblies of religions can help foster these pathways.</w:t>
      </w:r>
    </w:p>
    <w:p>
      <w:pPr>
        <w:pStyle w:val="BodyText"/>
      </w:pPr>
      <w:r>
        <w:rPr>
          <w:iCs/>
          <w:i/>
        </w:rPr>
        <w:t xml:space="preserve">Reflection: If sectarianism is an illusion that binds the heart, what would liberation from it look like in ordinary relationships?</w:t>
      </w:r>
    </w:p>
    <w:p>
      <w:pPr>
        <w:pStyle w:val="BodyText"/>
      </w:pPr>
      <w:r>
        <w:t xml:space="preserve">That question turns religious unification from abstraction into daily discipline.</w:t>
      </w:r>
    </w:p>
    <w:bookmarkEnd w:id="1005"/>
    <w:bookmarkStart w:id="1006" w:name="a-king-who-believes"/>
    <w:p>
      <w:pPr>
        <w:pStyle w:val="Heading2"/>
      </w:pPr>
      <w:r>
        <w:t xml:space="preserve">26.5 A King Who Believes</w:t>
      </w:r>
    </w:p>
    <w:p>
      <w:pPr>
        <w:pStyle w:val="FirstParagraph"/>
      </w:pPr>
      <w:r>
        <w:t xml:space="preserve">We have a responsibility towards any sovereign leader who arises to serve the Cause of God. The Kitáb-i-Aqdas #84 says:</w:t>
      </w:r>
    </w:p>
    <w:p>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pPr>
        <w:pStyle w:val="FirstParagraph"/>
      </w:pPr>
      <w:r>
        <w:rPr>
          <w:iCs/>
          <w:i/>
        </w:rPr>
        <w:t xml:space="preserve">Reflection: How does one recognize a leader who arises to serve the Cause of God? Once recognized, how might supporting such a leader with your wealth and lives look within your life?</w:t>
      </w:r>
    </w:p>
    <w:p>
      <w:pPr>
        <w:pStyle w:val="BodyText"/>
      </w:pPr>
      <w:r>
        <w:t xml:space="preserve">Knowing our responsibility towards peace and a potential sovereign leader who serves the Cause of God can inspire us to remain in a constant process of preparation, ready to help ourselves and others to achieve true liberation.</w:t>
      </w:r>
    </w:p>
    <w:bookmarkEnd w:id="1006"/>
    <w:bookmarkStart w:id="1007" w:name="X6cc0588fb99824e3444e9f2f07f61ae6ec01d05"/>
    <w:p>
      <w:pPr>
        <w:pStyle w:val="Heading2"/>
      </w:pPr>
      <w:r>
        <w:t xml:space="preserve">26.6 Belief, Spiritual Practice, Social Life, and Affectionate Relationships</w:t>
      </w:r>
    </w:p>
    <w:p>
      <w:pPr>
        <w:pStyle w:val="FirstParagraph"/>
      </w:pPr>
      <w:r>
        <w:t xml:space="preserve">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pPr>
        <w:pStyle w:val="BodyText"/>
      </w:pPr>
      <w:r>
        <w:t xml:space="preserve">Decentralization is fundamentally more difficult, and throughout history, decentralized institutions have regularly ceded increasing power and control towards centralization. Crises are especially noteworthy in prompting authorities to seek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spiritual practices of prayer and reflection. Everything comes down to the individual.</w:t>
      </w:r>
    </w:p>
    <w:p>
      <w:pPr>
        <w:pStyle w:val="BodyText"/>
      </w:pPr>
      <w:r>
        <w:t xml:space="preserve">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that enhances our belief. Every day is a new opportunity for refinement. Practice may not lead to perfection, but it is the only pathway towards perfection. Always keep practicing.</w:t>
      </w:r>
    </w:p>
    <w:p>
      <w:pPr>
        <w:pStyle w:val="BodyText"/>
      </w:pPr>
      <w:r>
        <w:t xml:space="preserve">This feedback loop is the internal form of consultation, which ensures we are as capable as any person of participating in the emergence of peace. I recognize that it can seem like hard work, and potentially a significant reorientation of our lifestyles. This work prepares us to be the knights, like those believers of Shíráz, capable of serving as trustees for the liberation of others. While being mindful that Bahá’u’lláh did not want us overburdened, we can actively pursue good deeds. This can be as simple as helping an elderly person grab an item at a grocery store or as complex as raising another’s child. Being a trustee can also mean using your skills to actively work in social, civic, and political roles.</w:t>
      </w:r>
    </w:p>
    <w:p>
      <w:pPr>
        <w:pStyle w:val="BodyText"/>
      </w:pPr>
      <w:r>
        <w:t xml:space="preserve">If Bahá’u’lláh envisioned a King to arise to serve the Cause, it requires not only an individual who believes, but also one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w:t>
      </w:r>
      <w:r>
        <w:t xml:space="preserve"> </w:t>
      </w:r>
      <w:r>
        <w:t xml:space="preserve">‘</w:t>
      </w:r>
      <w:r>
        <w:t xml:space="preserve">owl among the ruins</w:t>
      </w:r>
      <w:r>
        <w:t xml:space="preserve">’</w:t>
      </w:r>
      <w:r>
        <w:t xml:space="preserve"> </w:t>
      </w:r>
      <w:r>
        <w:t xml:space="preserve">of Rome or Istanbul. We are the builders of a new Ark. This Ark is designed by the captain of the Crimson Ark, and can lead us to the shores of Oneness in humanity.</w:t>
      </w:r>
    </w:p>
    <w:p>
      <w:pPr>
        <w:pStyle w:val="BodyText"/>
      </w:pPr>
      <w:r>
        <w:t xml:space="preserve">Explore within yourself, within your developing God consciousness. As peace grows within you, that peace can help others attain peace.</w:t>
      </w:r>
    </w:p>
    <w:p>
      <w:pPr>
        <w:pStyle w:val="BodyText"/>
      </w:pPr>
      <w:r>
        <w:rPr>
          <w:iCs/>
          <w:i/>
        </w:rPr>
        <w:t xml:space="preserve">Reflection: If peace is built from daily virtues, what responsibility do you refuse to surrender, even when it would feel easier to do so?</w:t>
      </w:r>
    </w:p>
    <w:p>
      <w:pPr>
        <w:pStyle w:val="BodyText"/>
      </w:pPr>
      <w:r>
        <w:t xml:space="preserve">That refusal is where trusteeship becomes real, and where liberation theology becomes practice rather than slogan.</w:t>
      </w:r>
    </w:p>
    <w:bookmarkEnd w:id="1007"/>
    <w:bookmarkStart w:id="1008" w:name="towards-the-last-chapter"/>
    <w:p>
      <w:pPr>
        <w:pStyle w:val="Heading2"/>
      </w:pPr>
      <w:r>
        <w:t xml:space="preserve">26.7 Towards the Last Chapter</w:t>
      </w:r>
    </w:p>
    <w:p>
      <w:pPr>
        <w:pStyle w:val="FirstParagraph"/>
      </w:pPr>
      <w:r>
        <w:t xml:space="preserve">We cannot do any of this alone. The last chapter of this book is about teaching the Cause. We will look at Bahá’u’lláh’s guidance on teaching others. How will people know there is a Kitáb-i-Aqdas created to liberate them starting today and for at least another 800 years?</w:t>
      </w:r>
    </w:p>
    <w:p>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turns to teaching because no structure of peace can endure unless hearts are awakened to the Book, the responsibilities it restores, and the oneness it asks us to live.</w:t>
      </w:r>
    </w:p>
    <w:p>
      <w:r>
        <w:br w:type="page"/>
      </w:r>
    </w:p>
    <w:bookmarkEnd w:id="1008"/>
    <w:bookmarkEnd w:id="1009"/>
    <w:bookmarkStart w:id="1027" w:name="serving-the-cause"/>
    <w:p>
      <w:pPr>
        <w:pStyle w:val="Heading1"/>
      </w:pPr>
      <w:r>
        <w:t xml:space="preserve">27. Serving the Cause</w:t>
      </w:r>
    </w:p>
    <w:p>
      <w:pPr>
        <w:pStyle w:val="FirstParagraph"/>
      </w:pPr>
      <w:r>
        <w:t xml:space="preserve">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1010"/>
      </w:r>
      <w:r>
        <w:t xml:space="preserve"> </w:t>
      </w:r>
      <w:r>
        <w:t xml:space="preserve">This book has covered in significant detail how to be a good example, or at least has shared the framework the Kitáb-i-Aqdas provides. We have spent 26 chapters sharing what the Cause of God is. Now we close this final chapter by considering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bookmarkStart w:id="1018" w:name="proclaiming-the-cause"/>
    <w:p>
      <w:pPr>
        <w:pStyle w:val="Heading2"/>
      </w:pPr>
      <w:r>
        <w:t xml:space="preserve">27.1 Proclaiming the Cause</w:t>
      </w:r>
    </w:p>
    <w:bookmarkStart w:id="1012" w:name="the-abolition-of-impurity"/>
    <w:p>
      <w:pPr>
        <w:pStyle w:val="Heading3"/>
      </w:pPr>
      <w:r>
        <w:t xml:space="preserve">27.1.1 The Abolition of Impurity</w:t>
      </w:r>
    </w:p>
    <w:p>
      <w:pPr>
        <w:pStyle w:val="FirstParagraph"/>
      </w:pPr>
      <w:r>
        <w:t xml:space="preserve">Bahá’u’lláh tells us to proclaim the Cause to the followers of other religions.</w:t>
      </w:r>
      <w:r>
        <w:rPr>
          <w:rStyle w:val="FootnoteReference"/>
        </w:rPr>
        <w:footnoteReference w:id="1011"/>
      </w:r>
      <w:r>
        <w:t xml:space="preserve"> </w:t>
      </w:r>
      <w:r>
        <w:t xml:space="preserve">This command comes immediately after describing the abolition of the law of impurity from all things and of other religions. This is a subtle but important foundation. The first day of Riḍván itself purifies. Remember how Riḍván is an annual festival whose purpose is to proclaim the Cause. Invite people to the festival and proclaim the purifying effect of Riḍván. It is a day when people of all religions no longer have to view one another as impure.</w:t>
      </w:r>
    </w:p>
    <w:bookmarkEnd w:id="1012"/>
    <w:bookmarkStart w:id="1016" w:name="mention-god-among-nations-and-people"/>
    <w:p>
      <w:pPr>
        <w:pStyle w:val="Heading3"/>
      </w:pPr>
      <w:r>
        <w:t xml:space="preserve">27.1.2 Mention God Among Nations and People</w:t>
      </w:r>
    </w:p>
    <w:p>
      <w:pPr>
        <w:pStyle w:val="FirstParagraph"/>
      </w:pPr>
      <w:r>
        <w:t xml:space="preserve">Bahá’u’lláh has permitted, but not required, people to learn various languages to proclaim the Cause of God throughout both East and West.</w:t>
      </w:r>
      <w:r>
        <w:rPr>
          <w:rStyle w:val="FootnoteReference"/>
        </w:rPr>
        <w:footnoteReference w:id="1013"/>
      </w:r>
      <w:r>
        <w:t xml:space="preserve"> </w:t>
      </w:r>
      <w:r>
        <w:t xml:space="preserve">The Kitáb-i-Aqdas also expresses a couple of proclamations God had made Himself through Bahá’u’lláh. I consider these proclamations to be examples of how to mention God among the nations and people.</w:t>
      </w:r>
    </w:p>
    <w:p>
      <w:pPr>
        <w:pStyle w:val="BodyText"/>
      </w:pPr>
      <w:r>
        <w:t xml:space="preserve">One example is for people to turn with radiant faces and hearts of joy towards the Sidratu’l-Muntahá which proclaims</w:t>
      </w:r>
      <w:r>
        <w:t xml:space="preserve"> </w:t>
      </w:r>
      <w:r>
        <w:t xml:space="preserve">“</w:t>
      </w:r>
      <w:r>
        <w:t xml:space="preserve">There is no God but Me, the All Possessing, the Self Subsisting.</w:t>
      </w:r>
      <w:r>
        <w:t xml:space="preserve">”</w:t>
      </w:r>
      <w:r>
        <w:rPr>
          <w:rStyle w:val="FootnoteReference"/>
        </w:rPr>
        <w:footnoteReference w:id="1014"/>
      </w:r>
      <w:r>
        <w:t xml:space="preserve"> </w:t>
      </w:r>
      <w:r>
        <w:t xml:space="preserve">Another example is when Bahá’u’lláh counsels us to be manifestations of steadfastness when the Book proclaims</w:t>
      </w:r>
      <w:r>
        <w:t xml:space="preserve"> </w:t>
      </w:r>
      <w:r>
        <w:t xml:space="preserve">“</w:t>
      </w:r>
      <w:r>
        <w:t xml:space="preserve">There is no God but Me, the Almighty, the All Praised.</w:t>
      </w:r>
      <w:r>
        <w:t xml:space="preserve">”</w:t>
      </w:r>
      <w:r>
        <w:rPr>
          <w:rStyle w:val="FootnoteReference"/>
        </w:rPr>
        <w:footnoteReference w:id="1015"/>
      </w:r>
    </w:p>
    <w:bookmarkEnd w:id="1016"/>
    <w:bookmarkStart w:id="1017" w:name="the-great-announcement"/>
    <w:p>
      <w:pPr>
        <w:pStyle w:val="Heading3"/>
      </w:pPr>
      <w:r>
        <w:t xml:space="preserve">27.1.3 The Great Announcement</w:t>
      </w:r>
    </w:p>
    <w:p>
      <w:pPr>
        <w:pStyle w:val="FirstParagraph"/>
      </w:pPr>
      <w:r>
        <w:t xml:space="preserve">These two simple instructions parallel most of Bahá’u’lláh’s guidance about what a proclamation consists of. When associated with the Day of Resurrection, the proclamation is about the Great Announcement, where God has announced He has arrived to speak and guide humankind. Thus, proclamation should be considered an announcement. Riḍván is the day when Bahá’u’lláh first made His announcement to the world, and this announcement continued throughout the rest of His ministry.</w:t>
      </w:r>
    </w:p>
    <w:p>
      <w:pPr>
        <w:pStyle w:val="BodyText"/>
      </w:pPr>
      <w:r>
        <w:t xml:space="preserve">We must be steadfast, radiant, and joyous in our proclamation. If we lack any of these qualities, the Great Announcement will not have its full effect. There are only four things which need to be proclaimed. The first is</w:t>
      </w:r>
      <w:r>
        <w:t xml:space="preserve"> </w:t>
      </w:r>
      <w:r>
        <w:t xml:space="preserve">“</w:t>
      </w:r>
      <w:r>
        <w:t xml:space="preserve">there is no God but Me.</w:t>
      </w:r>
      <w:r>
        <w:t xml:space="preserve">”</w:t>
      </w:r>
      <w:r>
        <w:t xml:space="preserve"> </w:t>
      </w:r>
      <w:r>
        <w:t xml:space="preserve">The second is that God has spoken again through the name of Bahá’u’lláh, the Glory of God. The third proclamation is the Cause of God. You do not even have to explain the Cause of God in the proclamation, but only that there is a Cause. A Cause can also be known as an effect of God’s Word. God exists, God speaks, and God affects you. If you were to say what the Cause is, I would advise identifying in one short sentence what the Cause is. For me, an effect could be as simple as saying</w:t>
      </w:r>
      <w:r>
        <w:t xml:space="preserve"> </w:t>
      </w:r>
      <w:r>
        <w:t xml:space="preserve">“</w:t>
      </w:r>
      <w:r>
        <w:t xml:space="preserve">to usher in the Most Great Peace,</w:t>
      </w:r>
      <w:r>
        <w:t xml:space="preserve">”</w:t>
      </w:r>
      <w:r>
        <w:t xml:space="preserve"> </w:t>
      </w:r>
      <w:r>
        <w:t xml:space="preserve">“</w:t>
      </w:r>
      <w:r>
        <w:t xml:space="preserve">to liberate souls from oppression,</w:t>
      </w:r>
      <w:r>
        <w:t xml:space="preserve">”</w:t>
      </w:r>
      <w:r>
        <w:t xml:space="preserve"> </w:t>
      </w:r>
      <w:r>
        <w:t xml:space="preserve">or</w:t>
      </w:r>
      <w:r>
        <w:t xml:space="preserve"> </w:t>
      </w:r>
      <w:r>
        <w:t xml:space="preserve">“</w:t>
      </w:r>
      <w:r>
        <w:t xml:space="preserve">to purify all religion.</w:t>
      </w:r>
      <w:r>
        <w:t xml:space="preserve">”</w:t>
      </w:r>
      <w:r>
        <w:t xml:space="preserve"> </w:t>
      </w:r>
      <w:r>
        <w:t xml:space="preserve">What is the Cause of God to you? If you believe in this Cause with radiance, joy, and steadfastness, share it, but share it simply. The final part of the proclamation is the invitation. Invite the audience to the Cause.</w:t>
      </w:r>
    </w:p>
    <w:p>
      <w:pPr>
        <w:pStyle w:val="BodyText"/>
      </w:pPr>
      <w:r>
        <w:rPr>
          <w:iCs/>
          <w:i/>
        </w:rPr>
        <w:t xml:space="preserve">Reflection: When you speak about God or truth, what qualities in your heart determine whether your words attract others or repel them?</w:t>
      </w:r>
    </w:p>
    <w:p>
      <w:pPr>
        <w:pStyle w:val="BodyText"/>
      </w:pPr>
      <w:r>
        <w:t xml:space="preserve">This question matters because proclamation depends as much on character as it does on speech.</w:t>
      </w:r>
    </w:p>
    <w:bookmarkEnd w:id="1017"/>
    <w:bookmarkEnd w:id="1018"/>
    <w:bookmarkStart w:id="1020" w:name="teaching-the-cause"/>
    <w:p>
      <w:pPr>
        <w:pStyle w:val="Heading2"/>
      </w:pPr>
      <w:r>
        <w:t xml:space="preserve">27.2 Teaching the Cause</w:t>
      </w:r>
    </w:p>
    <w:p>
      <w:pPr>
        <w:pStyle w:val="FirstParagraph"/>
      </w:pPr>
      <w:r>
        <w:t xml:space="preserve">The Kitáb-i-Aqdas itself says very little about teaching, yet we know teaching has a high station. With the inheritance law, teachers are the only non-familial category to receive a share in the absence of a will. If anyone chose to model their inheritance after the Aqdas, teachers receive 3.6 percent. This means that not only are teachers entrusted with a task, we are also entrusted to serve the teachers. There is no other profession in the Kitáb-i-Aqdas held with such a high responsibility.</w:t>
      </w:r>
    </w:p>
    <w:p>
      <w:pPr>
        <w:pStyle w:val="BodyText"/>
      </w:pPr>
      <w:r>
        <w:t xml:space="preserve">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has responded to the proclamation, we let go and move on.</w:t>
      </w:r>
    </w:p>
    <w:p>
      <w:pPr>
        <w:pStyle w:val="BodyText"/>
      </w:pPr>
      <w:r>
        <w:t xml:space="preserve">Bahá’u’lláh instructs us to adorn ourselves with good deeds, then to teach through wisdom and eloquence.</w:t>
      </w:r>
      <w:r>
        <w:rPr>
          <w:rStyle w:val="FootnoteReference"/>
        </w:rPr>
        <w:footnoteReference w:id="1019"/>
      </w:r>
      <w:r>
        <w:t xml:space="preserve"> </w:t>
      </w:r>
      <w:r>
        <w:t xml:space="preserve">Bahá’u’lláh expands upon this simple framework in an unnamed tablet designated BH02623. I am personally calling it</w:t>
      </w:r>
      <w:r>
        <w:t xml:space="preserve"> </w:t>
      </w:r>
      <w:r>
        <w:t xml:space="preserve">“</w:t>
      </w:r>
      <w:r>
        <w:t xml:space="preserve">Teaching with the Measure of Mercy.</w:t>
      </w:r>
      <w:r>
        <w:t xml:space="preserve">”</w:t>
      </w:r>
      <w:r>
        <w:t xml:space="preserve"> </w:t>
      </w:r>
      <w:r>
        <w:t xml:space="preserve">It is a thorough but brief summary of all the ways Bahá’u’lláh Himself has taught others, and how we can teach using His example. The entirety of this section is derived from this tablet.</w:t>
      </w:r>
    </w:p>
    <w:p>
      <w:pPr>
        <w:pStyle w:val="BodyText"/>
      </w:pPr>
      <w:r>
        <w:rPr>
          <w:iCs/>
          <w:i/>
        </w:rPr>
        <w:t xml:space="preserve">Reflection: What distinguishes teaching from proclamation, and why might a soul need both at different moments in their journey?</w:t>
      </w:r>
    </w:p>
    <w:p>
      <w:pPr>
        <w:pStyle w:val="BodyText"/>
      </w:pPr>
      <w:r>
        <w:t xml:space="preserve">Understanding this difference prepares us to approach teaching with patience rather than urgency.</w:t>
      </w:r>
    </w:p>
    <w:bookmarkEnd w:id="1020"/>
    <w:bookmarkStart w:id="1025" w:name="teaching-with-the-measure-of-mercy"/>
    <w:p>
      <w:pPr>
        <w:pStyle w:val="Heading2"/>
      </w:pPr>
      <w:r>
        <w:t xml:space="preserve">27.3 Teaching with the Measure of Mercy</w:t>
      </w:r>
    </w:p>
    <w:p>
      <w:pPr>
        <w:pStyle w:val="FirstParagraph"/>
      </w:pPr>
      <w:r>
        <w:t xml:space="preserve">Teaching with the measure of mercy begins with orientation. Bahá’u’lláh says the teacher is the</w:t>
      </w:r>
      <w:r>
        <w:t xml:space="preserve"> </w:t>
      </w:r>
      <w:r>
        <w:t xml:space="preserve">“</w:t>
      </w:r>
      <w:r>
        <w:t xml:space="preserve">spiritual physician and the true sage.</w:t>
      </w:r>
      <w:r>
        <w:t xml:space="preserve">”</w:t>
      </w:r>
      <w:r>
        <w:t xml:space="preserve"> </w:t>
      </w:r>
      <w:r>
        <w:t xml:space="preserve">A sage is one who is acclaimed and respected for their experience, judgment, and wisdom. Not every person who wants to teach is capable of teaching, but through time, practice, and patience one can become a true sage if they desire to heal the spirit.</w:t>
      </w:r>
    </w:p>
    <w:bookmarkStart w:id="1021" w:name="being-a-spiritual-physician"/>
    <w:p>
      <w:pPr>
        <w:pStyle w:val="Heading3"/>
      </w:pPr>
      <w:r>
        <w:t xml:space="preserve">27.3.1 Being a Spiritual Physician</w:t>
      </w:r>
    </w:p>
    <w:p>
      <w:pPr>
        <w:pStyle w:val="FirstParagraph"/>
      </w:pPr>
      <w:r>
        <w:t xml:space="preserve">The second aspect of a spiritual physician being needed is that there are things in this world which have harmed the spirit of a soul. The teacher must look to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that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we should find an expert who can.</w:t>
      </w:r>
    </w:p>
    <w:p>
      <w:pPr>
        <w:pStyle w:val="BodyText"/>
      </w:pPr>
      <w:r>
        <w:t xml:space="preserve">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to develop a treatment plan once we understand what needs healing.</w:t>
      </w:r>
    </w:p>
    <w:bookmarkEnd w:id="1021"/>
    <w:bookmarkStart w:id="1022" w:name="trauma-of-bad-spiritual-leadership"/>
    <w:p>
      <w:pPr>
        <w:pStyle w:val="Heading3"/>
      </w:pPr>
      <w:r>
        <w:t xml:space="preserve">27.3.2 Trauma of Bad Spiritual Leadership</w:t>
      </w:r>
    </w:p>
    <w:p>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Bahá’u’lláh says this type of soul will be shaken by just the mention of spiritual leaders, let alone the divinity of God. He says that in cases such as these, we should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pPr>
        <w:pStyle w:val="BodyText"/>
      </w:pPr>
      <w:r>
        <w:t xml:space="preserve">This trauma can be caused in a myriad of ways. I will not go into all the ways, but know that if trusteeship is meant to be practiced at every level of human experience, so too have the expressions of oppression and tyranny appeared at every level. Be receptive and know this world has a lot of pain to heal. Even the teacher themselves could be healing as they heal.</w:t>
      </w:r>
    </w:p>
    <w:bookmarkEnd w:id="1022"/>
    <w:bookmarkStart w:id="1023" w:name="milk-before-meat"/>
    <w:p>
      <w:pPr>
        <w:pStyle w:val="Heading3"/>
      </w:pPr>
      <w:r>
        <w:t xml:space="preserve">27.3.3 Milk Before Meat</w:t>
      </w:r>
    </w:p>
    <w:p>
      <w:pPr>
        <w:pStyle w:val="FirstParagraph"/>
      </w:pPr>
      <w:r>
        <w:t xml:space="preserve">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during which we give milk can vary and is entirely dependent on the soul receiving the milk. The person likes the ethics, but may not be ready for more difficult teachings.</w:t>
      </w:r>
    </w:p>
    <w:p>
      <w:pPr>
        <w:pStyle w:val="BodyText"/>
      </w:pPr>
      <w:r>
        <w:t xml:space="preserve">Once the soul’s capacity has been nurtured and has grown, the next stage is to give fruit. The fruit is guardianship, (the Arabic word wiláyat). A walí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that Bahá’u’lláh cares for them and see Him and their teacher as examples to follow. The spiritual practices can be introduced, instructed, and practiced. The soul explores these at their own pace and learns to develop a personal relationship with God.</w:t>
      </w:r>
    </w:p>
    <w:p>
      <w:pPr>
        <w:pStyle w:val="BodyText"/>
      </w:pPr>
      <w:r>
        <w:t xml:space="preserve">Over time the fruit has nurtured the soul and when they are ready, the teacher may give them the meat. The meat would be the most difficult aspects of belief. This could include expressing the full station of Bahá’u’lláh. For many, just the idea that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bookmarkEnd w:id="1023"/>
    <w:bookmarkStart w:id="1024" w:name="every-soul-is-a-seeker"/>
    <w:p>
      <w:pPr>
        <w:pStyle w:val="Heading3"/>
      </w:pPr>
      <w:r>
        <w:t xml:space="preserve">27.3.4 Every Soul is a Seeker</w:t>
      </w:r>
    </w:p>
    <w:p>
      <w:pPr>
        <w:pStyle w:val="FirstParagraph"/>
      </w:pPr>
      <w:r>
        <w:t xml:space="preserve">Bahá’u’lláh explains that every soul is a seeker. They may not be actively seeking in the moment, but at some point they will. The reason why they stop seeking or turn away from God is due to what He calls the</w:t>
      </w:r>
      <w:r>
        <w:t xml:space="preserve"> </w:t>
      </w:r>
      <w:r>
        <w:t xml:space="preserve">“</w:t>
      </w:r>
      <w:r>
        <w:t xml:space="preserve">fancies arranged beforehand.</w:t>
      </w:r>
      <w:r>
        <w:t xml:space="preserve">”</w:t>
      </w:r>
      <w:r>
        <w:t xml:space="preserve"> </w:t>
      </w:r>
      <w:r>
        <w:t xml:space="preserve">These fancies are shaped by parents, friends, religious leaders, non-spiritual leaders, cultural icons, and other sources. Burning away these fancies is very difficult.</w:t>
      </w:r>
    </w:p>
    <w:p>
      <w:pPr>
        <w:pStyle w:val="BodyText"/>
      </w:pPr>
      <w:r>
        <w:t xml:space="preserve">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that the soul is free from the oppression of prior institutions. A liberated soul can love and navigate the spiritual worlds freely. Maybe this soul, nurtured with milk, fruit, and then meat, will help the next soul who suffered under the ways of the world.</w:t>
      </w:r>
    </w:p>
    <w:p>
      <w:pPr>
        <w:pStyle w:val="BodyText"/>
      </w:pPr>
      <w:r>
        <w:rPr>
          <w:iCs/>
          <w:i/>
        </w:rPr>
        <w:t xml:space="preserve">Reflection: When someone begins to search for truth, what kind of patience and humility must the teacher practice so that mercy remains the measure of teaching?</w:t>
      </w:r>
    </w:p>
    <w:p>
      <w:pPr>
        <w:pStyle w:val="BodyText"/>
      </w:pPr>
      <w:r>
        <w:t xml:space="preserve">This reflection reminds us that teaching is not persuasion but healing.</w:t>
      </w:r>
    </w:p>
    <w:bookmarkEnd w:id="1024"/>
    <w:bookmarkEnd w:id="1025"/>
    <w:bookmarkStart w:id="1026" w:name="the-kitáb-i-aqdas-is-the-curriculum"/>
    <w:p>
      <w:pPr>
        <w:pStyle w:val="Heading2"/>
      </w:pPr>
      <w:r>
        <w:t xml:space="preserve">27.4 The Kitáb-i-Aqdas is the Curriculum</w:t>
      </w:r>
    </w:p>
    <w:p>
      <w:pPr>
        <w:pStyle w:val="FirstParagraph"/>
      </w:pPr>
      <w:r>
        <w:t xml:space="preserve">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pPr>
        <w:pStyle w:val="BodyText"/>
      </w:pPr>
      <w:r>
        <w:t xml:space="preserve">I believe this is why Bahá’u’lláh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pPr>
        <w:pStyle w:val="BodyText"/>
      </w:pPr>
      <w:r>
        <w:t xml:space="preserve">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that its purpose is to be liberated, and that you are willing to act as a trustee to your own soul.</w:t>
      </w:r>
    </w:p>
    <w:p>
      <w:pPr>
        <w:pStyle w:val="BodyText"/>
      </w:pPr>
      <w:r>
        <w:t xml:space="preserve">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r>
        <w:br w:type="page"/>
      </w:r>
    </w:p>
    <w:bookmarkEnd w:id="1026"/>
    <w:bookmarkEnd w:id="1027"/>
    <w:bookmarkStart w:id="1028" w:name="appendix-a-names-of-god"/>
    <w:p>
      <w:pPr>
        <w:pStyle w:val="Heading1"/>
      </w:pPr>
      <w:r>
        <w:t xml:space="preserve">Appendix A: Names of God</w:t>
      </w:r>
    </w:p>
    <w:p>
      <w:pPr>
        <w:pStyle w:val="FirstParagraph"/>
      </w:pPr>
      <w:r>
        <w:t xml:space="preserve">The following is a listing of the nineteen groups of the Names of God and the names associated with each group:</w:t>
      </w:r>
    </w:p>
    <w:p>
      <w:pPr>
        <w:numPr>
          <w:ilvl w:val="0"/>
          <w:numId w:val="1024"/>
        </w:numPr>
        <w:pStyle w:val="Compact"/>
      </w:pPr>
      <w:r>
        <w:t xml:space="preserve">Subtlety</w:t>
      </w:r>
    </w:p>
    <w:p>
      <w:pPr>
        <w:numPr>
          <w:ilvl w:val="1"/>
          <w:numId w:val="1025"/>
        </w:numPr>
        <w:pStyle w:val="Compact"/>
      </w:pPr>
      <w:r>
        <w:t xml:space="preserve">Name: Most Subtle</w:t>
      </w:r>
    </w:p>
    <w:p>
      <w:pPr>
        <w:numPr>
          <w:ilvl w:val="0"/>
          <w:numId w:val="1024"/>
        </w:numPr>
        <w:pStyle w:val="Compact"/>
      </w:pPr>
      <w:r>
        <w:t xml:space="preserve">Manifestation</w:t>
      </w:r>
    </w:p>
    <w:p>
      <w:pPr>
        <w:numPr>
          <w:ilvl w:val="1"/>
          <w:numId w:val="1026"/>
        </w:numPr>
        <w:pStyle w:val="Compact"/>
      </w:pPr>
      <w:r>
        <w:t xml:space="preserve">Name: Manifest</w:t>
      </w:r>
    </w:p>
    <w:p>
      <w:pPr>
        <w:numPr>
          <w:ilvl w:val="0"/>
          <w:numId w:val="1024"/>
        </w:numPr>
        <w:pStyle w:val="Compact"/>
      </w:pPr>
      <w:r>
        <w:t xml:space="preserve">Knowledge</w:t>
      </w:r>
    </w:p>
    <w:p>
      <w:pPr>
        <w:numPr>
          <w:ilvl w:val="1"/>
          <w:numId w:val="1027"/>
        </w:numPr>
        <w:pStyle w:val="Compact"/>
      </w:pPr>
      <w:r>
        <w:t xml:space="preserve">Name: All Knowing</w:t>
      </w:r>
    </w:p>
    <w:p>
      <w:pPr>
        <w:numPr>
          <w:ilvl w:val="1"/>
          <w:numId w:val="1027"/>
        </w:numPr>
        <w:pStyle w:val="Compact"/>
      </w:pPr>
      <w:r>
        <w:t xml:space="preserve">Name: All Informed</w:t>
      </w:r>
    </w:p>
    <w:p>
      <w:pPr>
        <w:numPr>
          <w:ilvl w:val="1"/>
          <w:numId w:val="1027"/>
        </w:numPr>
        <w:pStyle w:val="Compact"/>
      </w:pPr>
      <w:r>
        <w:t xml:space="preserve">Name: Wise</w:t>
      </w:r>
    </w:p>
    <w:p>
      <w:pPr>
        <w:numPr>
          <w:ilvl w:val="1"/>
          <w:numId w:val="1027"/>
        </w:numPr>
        <w:pStyle w:val="Compact"/>
      </w:pPr>
      <w:r>
        <w:t xml:space="preserve">Name: Knower of All Things</w:t>
      </w:r>
    </w:p>
    <w:p>
      <w:pPr>
        <w:numPr>
          <w:ilvl w:val="0"/>
          <w:numId w:val="1024"/>
        </w:numPr>
        <w:pStyle w:val="Compact"/>
      </w:pPr>
      <w:r>
        <w:t xml:space="preserve">Creation</w:t>
      </w:r>
    </w:p>
    <w:p>
      <w:pPr>
        <w:numPr>
          <w:ilvl w:val="1"/>
          <w:numId w:val="1028"/>
        </w:numPr>
        <w:pStyle w:val="Compact"/>
      </w:pPr>
      <w:r>
        <w:t xml:space="preserve">Name: Dawning Place</w:t>
      </w:r>
    </w:p>
    <w:p>
      <w:pPr>
        <w:numPr>
          <w:ilvl w:val="1"/>
          <w:numId w:val="1028"/>
        </w:numPr>
        <w:pStyle w:val="Compact"/>
      </w:pPr>
      <w:r>
        <w:t xml:space="preserve">Name: Creator</w:t>
      </w:r>
    </w:p>
    <w:p>
      <w:pPr>
        <w:numPr>
          <w:ilvl w:val="0"/>
          <w:numId w:val="1024"/>
        </w:numPr>
        <w:pStyle w:val="Compact"/>
      </w:pPr>
      <w:r>
        <w:t xml:space="preserve">Power</w:t>
      </w:r>
    </w:p>
    <w:p>
      <w:pPr>
        <w:numPr>
          <w:ilvl w:val="1"/>
          <w:numId w:val="1029"/>
        </w:numPr>
        <w:pStyle w:val="Compact"/>
      </w:pPr>
      <w:r>
        <w:t xml:space="preserve">Name: Almighty</w:t>
      </w:r>
    </w:p>
    <w:p>
      <w:pPr>
        <w:numPr>
          <w:ilvl w:val="1"/>
          <w:numId w:val="1029"/>
        </w:numPr>
        <w:pStyle w:val="Compact"/>
      </w:pPr>
      <w:r>
        <w:t xml:space="preserve">Name: All Powerful</w:t>
      </w:r>
    </w:p>
    <w:p>
      <w:pPr>
        <w:numPr>
          <w:ilvl w:val="1"/>
          <w:numId w:val="1029"/>
        </w:numPr>
        <w:pStyle w:val="Compact"/>
      </w:pPr>
      <w:r>
        <w:t xml:space="preserve">Name: All Capable</w:t>
      </w:r>
    </w:p>
    <w:p>
      <w:pPr>
        <w:numPr>
          <w:ilvl w:val="1"/>
          <w:numId w:val="1029"/>
        </w:numPr>
        <w:pStyle w:val="Compact"/>
      </w:pPr>
      <w:r>
        <w:t xml:space="preserve">Name: All Subduing</w:t>
      </w:r>
    </w:p>
    <w:p>
      <w:pPr>
        <w:numPr>
          <w:ilvl w:val="1"/>
          <w:numId w:val="1029"/>
        </w:numPr>
        <w:pStyle w:val="Compact"/>
      </w:pPr>
      <w:r>
        <w:t xml:space="preserve">Name: All Sufficient</w:t>
      </w:r>
    </w:p>
    <w:p>
      <w:pPr>
        <w:numPr>
          <w:ilvl w:val="0"/>
          <w:numId w:val="1024"/>
        </w:numPr>
        <w:pStyle w:val="Compact"/>
      </w:pPr>
      <w:r>
        <w:t xml:space="preserve">Lordship</w:t>
      </w:r>
    </w:p>
    <w:p>
      <w:pPr>
        <w:numPr>
          <w:ilvl w:val="1"/>
          <w:numId w:val="1030"/>
        </w:numPr>
        <w:pStyle w:val="Compact"/>
      </w:pPr>
      <w:r>
        <w:t xml:space="preserve">Name: Lord</w:t>
      </w:r>
    </w:p>
    <w:p>
      <w:pPr>
        <w:numPr>
          <w:ilvl w:val="0"/>
          <w:numId w:val="1024"/>
        </w:numPr>
        <w:pStyle w:val="Compact"/>
      </w:pPr>
      <w:r>
        <w:t xml:space="preserve">Justice</w:t>
      </w:r>
    </w:p>
    <w:p>
      <w:pPr>
        <w:numPr>
          <w:ilvl w:val="1"/>
          <w:numId w:val="1031"/>
        </w:numPr>
        <w:pStyle w:val="Compact"/>
      </w:pPr>
      <w:r>
        <w:t xml:space="preserve">Name: Judge</w:t>
      </w:r>
    </w:p>
    <w:p>
      <w:pPr>
        <w:numPr>
          <w:ilvl w:val="1"/>
          <w:numId w:val="1031"/>
        </w:numPr>
        <w:pStyle w:val="Compact"/>
      </w:pPr>
      <w:r>
        <w:t xml:space="preserve">Name: Just</w:t>
      </w:r>
    </w:p>
    <w:p>
      <w:pPr>
        <w:numPr>
          <w:ilvl w:val="1"/>
          <w:numId w:val="1031"/>
        </w:numPr>
        <w:pStyle w:val="Compact"/>
      </w:pPr>
      <w:r>
        <w:t xml:space="preserve">Name: Reckoner</w:t>
      </w:r>
    </w:p>
    <w:p>
      <w:pPr>
        <w:numPr>
          <w:ilvl w:val="0"/>
          <w:numId w:val="1024"/>
        </w:numPr>
        <w:pStyle w:val="Compact"/>
      </w:pPr>
      <w:r>
        <w:t xml:space="preserve">Exaltation</w:t>
      </w:r>
    </w:p>
    <w:p>
      <w:pPr>
        <w:numPr>
          <w:ilvl w:val="1"/>
          <w:numId w:val="1032"/>
        </w:numPr>
        <w:pStyle w:val="Compact"/>
      </w:pPr>
      <w:r>
        <w:t xml:space="preserve">Name: Most Exalted</w:t>
      </w:r>
    </w:p>
    <w:p>
      <w:pPr>
        <w:numPr>
          <w:ilvl w:val="1"/>
          <w:numId w:val="1032"/>
        </w:numPr>
        <w:pStyle w:val="Compact"/>
      </w:pPr>
      <w:r>
        <w:t xml:space="preserve">Name: Most High</w:t>
      </w:r>
    </w:p>
    <w:p>
      <w:pPr>
        <w:numPr>
          <w:ilvl w:val="1"/>
          <w:numId w:val="1032"/>
        </w:numPr>
        <w:pStyle w:val="Compact"/>
      </w:pPr>
      <w:r>
        <w:t xml:space="preserve">Name: Great</w:t>
      </w:r>
    </w:p>
    <w:p>
      <w:pPr>
        <w:numPr>
          <w:ilvl w:val="1"/>
          <w:numId w:val="1032"/>
        </w:numPr>
        <w:pStyle w:val="Compact"/>
      </w:pPr>
      <w:r>
        <w:t xml:space="preserve">Name: Majestic</w:t>
      </w:r>
    </w:p>
    <w:p>
      <w:pPr>
        <w:numPr>
          <w:ilvl w:val="1"/>
          <w:numId w:val="1032"/>
        </w:numPr>
        <w:pStyle w:val="Compact"/>
      </w:pPr>
      <w:r>
        <w:t xml:space="preserve">Name: Most Glorious</w:t>
      </w:r>
    </w:p>
    <w:p>
      <w:pPr>
        <w:numPr>
          <w:ilvl w:val="1"/>
          <w:numId w:val="1032"/>
        </w:numPr>
        <w:pStyle w:val="Compact"/>
      </w:pPr>
      <w:r>
        <w:t xml:space="preserve">Name: Greatest Infallibility</w:t>
      </w:r>
    </w:p>
    <w:p>
      <w:pPr>
        <w:numPr>
          <w:ilvl w:val="0"/>
          <w:numId w:val="1024"/>
        </w:numPr>
        <w:pStyle w:val="Compact"/>
      </w:pPr>
      <w:r>
        <w:t xml:space="preserve">Independence</w:t>
      </w:r>
    </w:p>
    <w:p>
      <w:pPr>
        <w:numPr>
          <w:ilvl w:val="1"/>
          <w:numId w:val="1033"/>
        </w:numPr>
        <w:pStyle w:val="Compact"/>
      </w:pPr>
      <w:r>
        <w:t xml:space="preserve">Name: Self Sufficient</w:t>
      </w:r>
    </w:p>
    <w:p>
      <w:pPr>
        <w:numPr>
          <w:ilvl w:val="1"/>
          <w:numId w:val="1033"/>
        </w:numPr>
        <w:pStyle w:val="Compact"/>
      </w:pPr>
      <w:r>
        <w:t xml:space="preserve">Name: Self Subsisting</w:t>
      </w:r>
    </w:p>
    <w:p>
      <w:pPr>
        <w:numPr>
          <w:ilvl w:val="1"/>
          <w:numId w:val="1033"/>
        </w:numPr>
        <w:pStyle w:val="Compact"/>
      </w:pPr>
      <w:r>
        <w:t xml:space="preserve">Name: Independent</w:t>
      </w:r>
    </w:p>
    <w:p>
      <w:pPr>
        <w:numPr>
          <w:ilvl w:val="0"/>
          <w:numId w:val="1024"/>
        </w:numPr>
        <w:pStyle w:val="Compact"/>
      </w:pPr>
      <w:r>
        <w:t xml:space="preserve">Command</w:t>
      </w:r>
    </w:p>
    <w:p>
      <w:pPr>
        <w:numPr>
          <w:ilvl w:val="1"/>
          <w:numId w:val="1034"/>
        </w:numPr>
        <w:pStyle w:val="Compact"/>
      </w:pPr>
      <w:r>
        <w:t xml:space="preserve">Name: Commander</w:t>
      </w:r>
    </w:p>
    <w:p>
      <w:pPr>
        <w:numPr>
          <w:ilvl w:val="1"/>
          <w:numId w:val="1034"/>
        </w:numPr>
        <w:pStyle w:val="Compact"/>
      </w:pPr>
      <w:r>
        <w:t xml:space="preserve">Name: Ordainer</w:t>
      </w:r>
    </w:p>
    <w:p>
      <w:pPr>
        <w:numPr>
          <w:ilvl w:val="1"/>
          <w:numId w:val="1034"/>
        </w:numPr>
        <w:pStyle w:val="Compact"/>
      </w:pPr>
      <w:r>
        <w:t xml:space="preserve">Name: Fulfiller</w:t>
      </w:r>
    </w:p>
    <w:p>
      <w:pPr>
        <w:numPr>
          <w:ilvl w:val="0"/>
          <w:numId w:val="1024"/>
        </w:numPr>
        <w:pStyle w:val="Compact"/>
      </w:pPr>
      <w:r>
        <w:t xml:space="preserve">Counsel</w:t>
      </w:r>
    </w:p>
    <w:p>
      <w:pPr>
        <w:numPr>
          <w:ilvl w:val="1"/>
          <w:numId w:val="1035"/>
        </w:numPr>
        <w:pStyle w:val="Compact"/>
      </w:pPr>
      <w:r>
        <w:t xml:space="preserve">Name: Counselor</w:t>
      </w:r>
    </w:p>
    <w:p>
      <w:pPr>
        <w:numPr>
          <w:ilvl w:val="1"/>
          <w:numId w:val="1035"/>
        </w:numPr>
        <w:pStyle w:val="Compact"/>
      </w:pPr>
      <w:r>
        <w:t xml:space="preserve">Name: Speaker</w:t>
      </w:r>
    </w:p>
    <w:p>
      <w:pPr>
        <w:numPr>
          <w:ilvl w:val="1"/>
          <w:numId w:val="1035"/>
        </w:numPr>
        <w:pStyle w:val="Compact"/>
      </w:pPr>
      <w:r>
        <w:t xml:space="preserve">Name: Source of Inspiration</w:t>
      </w:r>
    </w:p>
    <w:p>
      <w:pPr>
        <w:numPr>
          <w:ilvl w:val="0"/>
          <w:numId w:val="1024"/>
        </w:numPr>
        <w:pStyle w:val="Compact"/>
      </w:pPr>
      <w:r>
        <w:t xml:space="preserve">Faithfulness</w:t>
      </w:r>
    </w:p>
    <w:p>
      <w:pPr>
        <w:numPr>
          <w:ilvl w:val="1"/>
          <w:numId w:val="1036"/>
        </w:numPr>
        <w:pStyle w:val="Compact"/>
      </w:pPr>
      <w:r>
        <w:t xml:space="preserve">Name: Trustworthy</w:t>
      </w:r>
    </w:p>
    <w:p>
      <w:pPr>
        <w:numPr>
          <w:ilvl w:val="1"/>
          <w:numId w:val="1036"/>
        </w:numPr>
        <w:pStyle w:val="Compact"/>
      </w:pPr>
      <w:r>
        <w:t xml:space="preserve">Name: Faithful Guardian</w:t>
      </w:r>
    </w:p>
    <w:p>
      <w:pPr>
        <w:numPr>
          <w:ilvl w:val="0"/>
          <w:numId w:val="1024"/>
        </w:numPr>
        <w:pStyle w:val="Compact"/>
      </w:pPr>
      <w:r>
        <w:t xml:space="preserve">Praise</w:t>
      </w:r>
    </w:p>
    <w:p>
      <w:pPr>
        <w:numPr>
          <w:ilvl w:val="1"/>
          <w:numId w:val="1037"/>
        </w:numPr>
        <w:pStyle w:val="Compact"/>
      </w:pPr>
      <w:r>
        <w:t xml:space="preserve">Name: All Praised</w:t>
      </w:r>
    </w:p>
    <w:p>
      <w:pPr>
        <w:numPr>
          <w:ilvl w:val="1"/>
          <w:numId w:val="1037"/>
        </w:numPr>
        <w:pStyle w:val="Compact"/>
      </w:pPr>
      <w:r>
        <w:t xml:space="preserve">Name: Praised</w:t>
      </w:r>
    </w:p>
    <w:p>
      <w:pPr>
        <w:numPr>
          <w:ilvl w:val="1"/>
          <w:numId w:val="1037"/>
        </w:numPr>
        <w:pStyle w:val="Compact"/>
      </w:pPr>
      <w:r>
        <w:t xml:space="preserve">Name: Praiseworthy</w:t>
      </w:r>
    </w:p>
    <w:p>
      <w:pPr>
        <w:numPr>
          <w:ilvl w:val="0"/>
          <w:numId w:val="1024"/>
        </w:numPr>
        <w:pStyle w:val="Compact"/>
      </w:pPr>
      <w:r>
        <w:t xml:space="preserve">Love</w:t>
      </w:r>
    </w:p>
    <w:p>
      <w:pPr>
        <w:numPr>
          <w:ilvl w:val="1"/>
          <w:numId w:val="1038"/>
        </w:numPr>
        <w:pStyle w:val="Compact"/>
      </w:pPr>
      <w:r>
        <w:t xml:space="preserve">Name: Beloved</w:t>
      </w:r>
    </w:p>
    <w:p>
      <w:pPr>
        <w:numPr>
          <w:ilvl w:val="1"/>
          <w:numId w:val="1038"/>
        </w:numPr>
        <w:pStyle w:val="Compact"/>
      </w:pPr>
      <w:r>
        <w:t xml:space="preserve">Name: Loving</w:t>
      </w:r>
    </w:p>
    <w:p>
      <w:pPr>
        <w:numPr>
          <w:ilvl w:val="1"/>
          <w:numId w:val="1038"/>
        </w:numPr>
        <w:pStyle w:val="Compact"/>
      </w:pPr>
      <w:r>
        <w:t xml:space="preserve">Name: Gracious</w:t>
      </w:r>
    </w:p>
    <w:p>
      <w:pPr>
        <w:numPr>
          <w:ilvl w:val="0"/>
          <w:numId w:val="1024"/>
        </w:numPr>
        <w:pStyle w:val="Compact"/>
      </w:pPr>
      <w:r>
        <w:t xml:space="preserve">Forgiveness</w:t>
      </w:r>
    </w:p>
    <w:p>
      <w:pPr>
        <w:numPr>
          <w:ilvl w:val="1"/>
          <w:numId w:val="1039"/>
        </w:numPr>
        <w:pStyle w:val="Compact"/>
      </w:pPr>
      <w:r>
        <w:t xml:space="preserve">Name: All Forgiving</w:t>
      </w:r>
    </w:p>
    <w:p>
      <w:pPr>
        <w:numPr>
          <w:ilvl w:val="1"/>
          <w:numId w:val="1039"/>
        </w:numPr>
        <w:pStyle w:val="Compact"/>
      </w:pPr>
      <w:r>
        <w:t xml:space="preserve">Name: Ever Forgiving</w:t>
      </w:r>
    </w:p>
    <w:p>
      <w:pPr>
        <w:numPr>
          <w:ilvl w:val="1"/>
          <w:numId w:val="1039"/>
        </w:numPr>
        <w:pStyle w:val="Compact"/>
      </w:pPr>
      <w:r>
        <w:t xml:space="preserve">Name: Oft Forgiving</w:t>
      </w:r>
    </w:p>
    <w:p>
      <w:pPr>
        <w:numPr>
          <w:ilvl w:val="0"/>
          <w:numId w:val="1024"/>
        </w:numPr>
        <w:pStyle w:val="Compact"/>
      </w:pPr>
      <w:r>
        <w:t xml:space="preserve">Mercy</w:t>
      </w:r>
    </w:p>
    <w:p>
      <w:pPr>
        <w:numPr>
          <w:ilvl w:val="1"/>
          <w:numId w:val="1040"/>
        </w:numPr>
        <w:pStyle w:val="Compact"/>
      </w:pPr>
      <w:r>
        <w:t xml:space="preserve">Name: All Merciful</w:t>
      </w:r>
    </w:p>
    <w:p>
      <w:pPr>
        <w:numPr>
          <w:ilvl w:val="1"/>
          <w:numId w:val="1040"/>
        </w:numPr>
        <w:pStyle w:val="Compact"/>
      </w:pPr>
      <w:r>
        <w:t xml:space="preserve">Name: Most Merciful</w:t>
      </w:r>
    </w:p>
    <w:p>
      <w:pPr>
        <w:numPr>
          <w:ilvl w:val="1"/>
          <w:numId w:val="1040"/>
        </w:numPr>
        <w:pStyle w:val="Compact"/>
      </w:pPr>
      <w:r>
        <w:t xml:space="preserve">Name: Most Compassionate</w:t>
      </w:r>
    </w:p>
    <w:p>
      <w:pPr>
        <w:numPr>
          <w:ilvl w:val="0"/>
          <w:numId w:val="1024"/>
        </w:numPr>
        <w:pStyle w:val="Compact"/>
      </w:pPr>
      <w:r>
        <w:t xml:space="preserve">Generosity</w:t>
      </w:r>
    </w:p>
    <w:p>
      <w:pPr>
        <w:numPr>
          <w:ilvl w:val="1"/>
          <w:numId w:val="1041"/>
        </w:numPr>
        <w:pStyle w:val="Compact"/>
      </w:pPr>
      <w:r>
        <w:t xml:space="preserve">Name: All Bountiful</w:t>
      </w:r>
    </w:p>
    <w:p>
      <w:pPr>
        <w:numPr>
          <w:ilvl w:val="1"/>
          <w:numId w:val="1041"/>
        </w:numPr>
        <w:pStyle w:val="Compact"/>
      </w:pPr>
      <w:r>
        <w:t xml:space="preserve">Name: Bestower</w:t>
      </w:r>
    </w:p>
    <w:p>
      <w:pPr>
        <w:numPr>
          <w:ilvl w:val="1"/>
          <w:numId w:val="1041"/>
        </w:numPr>
        <w:pStyle w:val="Compact"/>
      </w:pPr>
      <w:r>
        <w:t xml:space="preserve">Name: Most Generous</w:t>
      </w:r>
    </w:p>
    <w:p>
      <w:pPr>
        <w:numPr>
          <w:ilvl w:val="1"/>
          <w:numId w:val="1041"/>
        </w:numPr>
        <w:pStyle w:val="Compact"/>
      </w:pPr>
      <w:r>
        <w:t xml:space="preserve">Name: Most Bountiful</w:t>
      </w:r>
    </w:p>
    <w:p>
      <w:pPr>
        <w:numPr>
          <w:ilvl w:val="0"/>
          <w:numId w:val="1024"/>
        </w:numPr>
        <w:pStyle w:val="Compact"/>
      </w:pPr>
      <w:r>
        <w:t xml:space="preserve">Sovereignty</w:t>
      </w:r>
    </w:p>
    <w:p>
      <w:pPr>
        <w:numPr>
          <w:ilvl w:val="1"/>
          <w:numId w:val="1042"/>
        </w:numPr>
        <w:pStyle w:val="Compact"/>
      </w:pPr>
      <w:r>
        <w:t xml:space="preserve">Name: Sovereign</w:t>
      </w:r>
    </w:p>
    <w:p>
      <w:pPr>
        <w:numPr>
          <w:ilvl w:val="1"/>
          <w:numId w:val="1042"/>
        </w:numPr>
        <w:pStyle w:val="Compact"/>
      </w:pPr>
      <w:r>
        <w:t xml:space="preserve">Name: Lord of Dominion</w:t>
      </w:r>
    </w:p>
    <w:p>
      <w:pPr>
        <w:numPr>
          <w:ilvl w:val="1"/>
          <w:numId w:val="1042"/>
        </w:numPr>
        <w:pStyle w:val="Compact"/>
      </w:pPr>
      <w:r>
        <w:t xml:space="preserve">Name: Ruler</w:t>
      </w:r>
    </w:p>
    <w:p>
      <w:pPr>
        <w:numPr>
          <w:ilvl w:val="1"/>
          <w:numId w:val="1042"/>
        </w:numPr>
        <w:pStyle w:val="Compact"/>
      </w:pPr>
      <w:r>
        <w:t xml:space="preserve">Name: Master</w:t>
      </w:r>
    </w:p>
    <w:p>
      <w:pPr>
        <w:numPr>
          <w:ilvl w:val="0"/>
          <w:numId w:val="1024"/>
        </w:numPr>
        <w:pStyle w:val="Compact"/>
      </w:pPr>
      <w:r>
        <w:t xml:space="preserve">Purity</w:t>
      </w:r>
    </w:p>
    <w:p>
      <w:pPr>
        <w:numPr>
          <w:ilvl w:val="1"/>
          <w:numId w:val="1043"/>
        </w:numPr>
        <w:pStyle w:val="Compact"/>
      </w:pPr>
      <w:r>
        <w:t xml:space="preserve">Name: Purest</w:t>
      </w:r>
    </w:p>
    <w:p>
      <w:pPr>
        <w:numPr>
          <w:ilvl w:val="1"/>
          <w:numId w:val="1043"/>
        </w:numPr>
        <w:pStyle w:val="Compact"/>
      </w:pPr>
      <w:r>
        <w:t xml:space="preserve">Name: True</w:t>
      </w:r>
    </w:p>
    <w:p>
      <w:pPr>
        <w:numPr>
          <w:ilvl w:val="1"/>
          <w:numId w:val="1043"/>
        </w:numPr>
        <w:pStyle w:val="Compact"/>
      </w:pPr>
      <w:r>
        <w:t xml:space="preserve">Name: One</w:t>
      </w:r>
    </w:p>
    <w:p>
      <w:r>
        <w:br w:type="page"/>
      </w:r>
    </w:p>
    <w:bookmarkEnd w:id="1028"/>
    <w:bookmarkStart w:id="1038" w:name="Xb7528081a068f49ec2e4f5df8168e06dc9232d9"/>
    <w:p>
      <w:pPr>
        <w:pStyle w:val="Heading1"/>
      </w:pPr>
      <w:r>
        <w:t xml:space="preserve">Appendix B: A Structural Map of the Worlds of God</w:t>
      </w:r>
    </w:p>
    <w:p>
      <w:pPr>
        <w:pStyle w:val="FirstParagraph"/>
      </w:pPr>
      <w:r>
        <w:t xml:space="preserve">This appendix provides a clear reference framework for the terms used throughout this book when discussing the Worlds of God. These terms describe relationships, functions, and stations of existence rather than physical locations or spatial realms. The purpose of this appendix is clarity and consistency so readers can orient themselves without interrupting the narrative flow of the main chapters.</w:t>
      </w:r>
    </w:p>
    <w:bookmarkStart w:id="1029" w:name="worlds-of-god"/>
    <w:p>
      <w:pPr>
        <w:pStyle w:val="Heading2"/>
      </w:pPr>
      <w:r>
        <w:t xml:space="preserve">Worlds of God</w:t>
      </w:r>
    </w:p>
    <w:p>
      <w:pPr>
        <w:pStyle w:val="FirstParagraph"/>
      </w:pPr>
      <w:r>
        <w:t xml:space="preserve">The Worlds of God are expansive realms of existence that extend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bookmarkEnd w:id="1029"/>
    <w:bookmarkStart w:id="1030" w:name="kingdoms"/>
    <w:p>
      <w:pPr>
        <w:pStyle w:val="Heading2"/>
      </w:pPr>
      <w:r>
        <w:t xml:space="preserve">Kingdoms</w:t>
      </w:r>
    </w:p>
    <w:p>
      <w:pPr>
        <w:pStyle w:val="FirstParagraph"/>
      </w:pPr>
      <w:r>
        <w:t xml:space="preserve">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bookmarkEnd w:id="1030"/>
    <w:bookmarkStart w:id="1031" w:name="cities"/>
    <w:p>
      <w:pPr>
        <w:pStyle w:val="Heading2"/>
      </w:pPr>
      <w:r>
        <w:t xml:space="preserve">Cities</w:t>
      </w:r>
    </w:p>
    <w:p>
      <w:pPr>
        <w:pStyle w:val="FirstParagraph"/>
      </w:pPr>
      <w:r>
        <w:t xml:space="preserve">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bookmarkEnd w:id="1031"/>
    <w:bookmarkStart w:id="1032" w:name="schools"/>
    <w:p>
      <w:pPr>
        <w:pStyle w:val="Heading2"/>
      </w:pPr>
      <w:r>
        <w:t xml:space="preserve">Schools</w:t>
      </w:r>
    </w:p>
    <w:p>
      <w:pPr>
        <w:pStyle w:val="FirstParagraph"/>
      </w:pPr>
      <w:r>
        <w:t xml:space="preserve">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bookmarkEnd w:id="1032"/>
    <w:bookmarkStart w:id="1033" w:name="the-celestial-concourse"/>
    <w:p>
      <w:pPr>
        <w:pStyle w:val="Heading2"/>
      </w:pPr>
      <w:r>
        <w:t xml:space="preserve">The Celestial Concourse</w:t>
      </w:r>
    </w:p>
    <w:p>
      <w:pPr>
        <w:pStyle w:val="FirstParagraph"/>
      </w:pPr>
      <w:r>
        <w:t xml:space="preserve">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bookmarkEnd w:id="1033"/>
    <w:bookmarkStart w:id="1034" w:name="angels"/>
    <w:p>
      <w:pPr>
        <w:pStyle w:val="Heading2"/>
      </w:pPr>
      <w:r>
        <w:t xml:space="preserve">Angels</w:t>
      </w:r>
    </w:p>
    <w:p>
      <w:pPr>
        <w:pStyle w:val="FirstParagraph"/>
      </w:pPr>
      <w:r>
        <w:t xml:space="preserve">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bookmarkEnd w:id="1034"/>
    <w:bookmarkStart w:id="1035" w:name="sidrat-al-muntahá-the-lote-tree"/>
    <w:p>
      <w:pPr>
        <w:pStyle w:val="Heading2"/>
      </w:pPr>
      <w:r>
        <w:t xml:space="preserve">Sidrat al-Muntahá (The Lote-Tree)</w:t>
      </w:r>
    </w:p>
    <w:p>
      <w:pPr>
        <w:pStyle w:val="FirstParagraph"/>
      </w:pPr>
      <w:r>
        <w:t xml:space="preserve">The Sidrat al-Muntahá represents the boundary at which created knowledge reaches its limit. It marks the meeting point between the created worlds and divine Revelation. Beyond this horizon lies that which cannot be fully grasped or comprehended by created beings.</w:t>
      </w:r>
    </w:p>
    <w:bookmarkEnd w:id="1035"/>
    <w:bookmarkStart w:id="1036" w:name="the-mother-book"/>
    <w:p>
      <w:pPr>
        <w:pStyle w:val="Heading2"/>
      </w:pPr>
      <w:r>
        <w:t xml:space="preserve">The Mother Book</w:t>
      </w:r>
    </w:p>
    <w:p>
      <w:pPr>
        <w:pStyle w:val="FirstParagraph"/>
      </w:pPr>
      <w:r>
        <w:t xml:space="preserve">The Mother Book is the source from which divine knowledge and Revelation proceed. It represents divine order, coherence, and originating wisdom. Access to the Mother Book is mediated through Revelation rather than independent human inquiry.</w:t>
      </w:r>
    </w:p>
    <w:bookmarkEnd w:id="1036"/>
    <w:bookmarkStart w:id="1037" w:name="the-holy-spirit-and-the-holy-maiden"/>
    <w:p>
      <w:pPr>
        <w:pStyle w:val="Heading2"/>
      </w:pPr>
      <w:r>
        <w:t xml:space="preserve">The Holy Spirit and the Holy Maiden</w:t>
      </w:r>
    </w:p>
    <w:p>
      <w:pPr>
        <w:pStyle w:val="FirstParagraph"/>
      </w:pPr>
      <w:r>
        <w:t xml:space="preserve">The Holy Spirit and the Holy Maiden are expressions of divine inspiration, communication, and life giving influence. They serve as intermediaries through which Revelation, guidance, and confirmation are conveyed to creation. These realities emphasize God’s active and sustaining presence within the Worlds of God.</w:t>
      </w:r>
    </w:p>
    <w:p>
      <w:r>
        <w:br w:type="page"/>
      </w:r>
    </w:p>
    <w:bookmarkEnd w:id="1037"/>
    <w:bookmarkEnd w:id="1038"/>
    <w:bookmarkStart w:id="1039" w:name="appendix-c-spiritual-practices"/>
    <w:p>
      <w:pPr>
        <w:pStyle w:val="Heading1"/>
      </w:pPr>
      <w:r>
        <w:t xml:space="preserve">Appendix C: Spiritual Practices</w:t>
      </w:r>
    </w:p>
    <w:p>
      <w:pPr>
        <w:pStyle w:val="FirstParagraph"/>
      </w:pPr>
      <w:r>
        <w:t xml:space="preserve">Here is a listing of spiritual practices found within the Kitáb-i-Aqdas:</w:t>
      </w:r>
    </w:p>
    <w:p>
      <w:pPr>
        <w:numPr>
          <w:ilvl w:val="0"/>
          <w:numId w:val="1044"/>
        </w:numPr>
        <w:pStyle w:val="Compact"/>
      </w:pPr>
      <w:r>
        <w:t xml:space="preserve">Prayer</w:t>
      </w:r>
    </w:p>
    <w:p>
      <w:pPr>
        <w:numPr>
          <w:ilvl w:val="1"/>
          <w:numId w:val="1045"/>
        </w:numPr>
        <w:pStyle w:val="Compact"/>
      </w:pPr>
      <w:r>
        <w:t xml:space="preserve">Daily Obligatory Prayer (in private)</w:t>
      </w:r>
    </w:p>
    <w:p>
      <w:pPr>
        <w:numPr>
          <w:ilvl w:val="1"/>
          <w:numId w:val="1045"/>
        </w:numPr>
        <w:pStyle w:val="Compact"/>
      </w:pPr>
      <w:r>
        <w:t xml:space="preserve">Prayer of the Signs</w:t>
      </w:r>
    </w:p>
    <w:p>
      <w:pPr>
        <w:numPr>
          <w:ilvl w:val="1"/>
          <w:numId w:val="1045"/>
        </w:numPr>
        <w:pStyle w:val="Compact"/>
      </w:pPr>
      <w:r>
        <w:t xml:space="preserve">Prayer for the Dead (congregational)</w:t>
      </w:r>
    </w:p>
    <w:p>
      <w:pPr>
        <w:numPr>
          <w:ilvl w:val="1"/>
          <w:numId w:val="1045"/>
        </w:numPr>
        <w:pStyle w:val="Compact"/>
      </w:pPr>
      <w:r>
        <w:t xml:space="preserve">Personal Prayer (in private)</w:t>
      </w:r>
    </w:p>
    <w:p>
      <w:pPr>
        <w:numPr>
          <w:ilvl w:val="0"/>
          <w:numId w:val="1044"/>
        </w:numPr>
        <w:pStyle w:val="Compact"/>
      </w:pPr>
      <w:r>
        <w:t xml:space="preserve">Recitation</w:t>
      </w:r>
    </w:p>
    <w:p>
      <w:pPr>
        <w:numPr>
          <w:ilvl w:val="1"/>
          <w:numId w:val="1046"/>
        </w:numPr>
        <w:pStyle w:val="Compact"/>
      </w:pPr>
      <w:r>
        <w:t xml:space="preserve">Recitation of the verses of God</w:t>
      </w:r>
    </w:p>
    <w:p>
      <w:pPr>
        <w:numPr>
          <w:ilvl w:val="0"/>
          <w:numId w:val="1044"/>
        </w:numPr>
        <w:pStyle w:val="Compact"/>
      </w:pPr>
      <w:r>
        <w:t xml:space="preserve">Remembrance (Dhikr)</w:t>
      </w:r>
    </w:p>
    <w:p>
      <w:pPr>
        <w:numPr>
          <w:ilvl w:val="1"/>
          <w:numId w:val="1047"/>
        </w:numPr>
        <w:pStyle w:val="Compact"/>
      </w:pPr>
      <w:r>
        <w:t xml:space="preserve">Subconscious Remembrance</w:t>
      </w:r>
    </w:p>
    <w:p>
      <w:pPr>
        <w:numPr>
          <w:ilvl w:val="1"/>
          <w:numId w:val="1047"/>
        </w:numPr>
        <w:pStyle w:val="Compact"/>
      </w:pPr>
      <w:r>
        <w:t xml:space="preserve">Conscious Remembrance</w:t>
      </w:r>
    </w:p>
    <w:p>
      <w:pPr>
        <w:numPr>
          <w:ilvl w:val="2"/>
          <w:numId w:val="1048"/>
        </w:numPr>
        <w:pStyle w:val="Compact"/>
      </w:pPr>
      <w:r>
        <w:t xml:space="preserve">Alláh-u-Abhá 95 times daily</w:t>
      </w:r>
    </w:p>
    <w:p>
      <w:pPr>
        <w:numPr>
          <w:ilvl w:val="0"/>
          <w:numId w:val="1044"/>
        </w:numPr>
        <w:pStyle w:val="Compact"/>
      </w:pPr>
      <w:r>
        <w:t xml:space="preserve">Reflection</w:t>
      </w:r>
    </w:p>
    <w:p>
      <w:pPr>
        <w:numPr>
          <w:ilvl w:val="0"/>
          <w:numId w:val="1044"/>
        </w:numPr>
        <w:pStyle w:val="Compact"/>
      </w:pPr>
      <w:r>
        <w:t xml:space="preserve">Honoring God</w:t>
      </w:r>
    </w:p>
    <w:p>
      <w:pPr>
        <w:numPr>
          <w:ilvl w:val="1"/>
          <w:numId w:val="1049"/>
        </w:numPr>
        <w:pStyle w:val="Compact"/>
      </w:pPr>
      <w:r>
        <w:t xml:space="preserve">Building and Using Mashriqu’l-Adhkárs</w:t>
      </w:r>
    </w:p>
    <w:p>
      <w:pPr>
        <w:numPr>
          <w:ilvl w:val="1"/>
          <w:numId w:val="1049"/>
        </w:numPr>
        <w:pStyle w:val="Compact"/>
      </w:pPr>
      <w:r>
        <w:t xml:space="preserve">Pilgrimage (Baghdad or Shiraz)</w:t>
      </w:r>
    </w:p>
    <w:p>
      <w:pPr>
        <w:numPr>
          <w:ilvl w:val="1"/>
          <w:numId w:val="1049"/>
        </w:numPr>
        <w:pStyle w:val="Compact"/>
      </w:pPr>
      <w:r>
        <w:t xml:space="preserve">Rights of God (Ḥuqúqu’lláh)</w:t>
      </w:r>
    </w:p>
    <w:p>
      <w:pPr>
        <w:numPr>
          <w:ilvl w:val="1"/>
          <w:numId w:val="1049"/>
        </w:numPr>
        <w:pStyle w:val="Compact"/>
      </w:pPr>
      <w:r>
        <w:t xml:space="preserve">Engaging in an Occupation</w:t>
      </w:r>
    </w:p>
    <w:p>
      <w:pPr>
        <w:numPr>
          <w:ilvl w:val="1"/>
          <w:numId w:val="1049"/>
        </w:numPr>
        <w:pStyle w:val="Compact"/>
      </w:pPr>
      <w:r>
        <w:t xml:space="preserve">Zakat</w:t>
      </w:r>
    </w:p>
    <w:p>
      <w:pPr>
        <w:numPr>
          <w:ilvl w:val="1"/>
          <w:numId w:val="1049"/>
        </w:numPr>
        <w:pStyle w:val="Compact"/>
      </w:pPr>
      <w:r>
        <w:t xml:space="preserve">Ayyám-i-Há (Days of Giving)</w:t>
      </w:r>
    </w:p>
    <w:p>
      <w:pPr>
        <w:numPr>
          <w:ilvl w:val="1"/>
          <w:numId w:val="1049"/>
        </w:numPr>
        <w:pStyle w:val="Compact"/>
      </w:pPr>
      <w:r>
        <w:t xml:space="preserve">Fasting</w:t>
      </w:r>
    </w:p>
    <w:p>
      <w:pPr>
        <w:numPr>
          <w:ilvl w:val="1"/>
          <w:numId w:val="1049"/>
        </w:numPr>
        <w:pStyle w:val="Compact"/>
      </w:pPr>
      <w:r>
        <w:t xml:space="preserve">Monthly Hospitality</w:t>
      </w:r>
    </w:p>
    <w:p>
      <w:pPr>
        <w:numPr>
          <w:ilvl w:val="1"/>
          <w:numId w:val="1049"/>
        </w:numPr>
        <w:pStyle w:val="Compact"/>
      </w:pPr>
      <w:r>
        <w:t xml:space="preserve">Festivals</w:t>
      </w:r>
    </w:p>
    <w:p>
      <w:pPr>
        <w:numPr>
          <w:ilvl w:val="2"/>
          <w:numId w:val="1050"/>
        </w:numPr>
        <w:pStyle w:val="Compact"/>
      </w:pPr>
      <w:r>
        <w:t xml:space="preserve">Festival of Naw Rúz</w:t>
      </w:r>
    </w:p>
    <w:p>
      <w:pPr>
        <w:numPr>
          <w:ilvl w:val="2"/>
          <w:numId w:val="1050"/>
        </w:numPr>
        <w:pStyle w:val="Compact"/>
      </w:pPr>
      <w:r>
        <w:t xml:space="preserve">Festival of Riḍván</w:t>
      </w:r>
    </w:p>
    <w:p>
      <w:pPr>
        <w:numPr>
          <w:ilvl w:val="2"/>
          <w:numId w:val="1050"/>
        </w:numPr>
        <w:pStyle w:val="Compact"/>
      </w:pPr>
      <w:r>
        <w:t xml:space="preserve">Festival for the Declaration of the Báb</w:t>
      </w:r>
    </w:p>
    <w:p>
      <w:pPr>
        <w:numPr>
          <w:ilvl w:val="2"/>
          <w:numId w:val="1050"/>
        </w:numPr>
        <w:pStyle w:val="Compact"/>
      </w:pPr>
      <w:r>
        <w:t xml:space="preserve">Festival for the Twin Birthdays</w:t>
      </w:r>
    </w:p>
    <w:p>
      <w:r>
        <w:br w:type="page"/>
      </w:r>
    </w:p>
    <w:bookmarkEnd w:id="1039"/>
    <w:bookmarkStart w:id="1044" w:name="appendix-d-the-badí-calendar"/>
    <w:p>
      <w:pPr>
        <w:pStyle w:val="Heading1"/>
      </w:pPr>
      <w:r>
        <w:t xml:space="preserve">Appendix D: The Badí‘ Calendar</w:t>
      </w:r>
    </w:p>
    <w:bookmarkStart w:id="1040" w:name="the-19-months"/>
    <w:p>
      <w:pPr>
        <w:pStyle w:val="Heading2"/>
      </w:pPr>
      <w:r>
        <w:t xml:space="preserve">The 19 Months</w:t>
      </w:r>
    </w:p>
    <w:p>
      <w:pPr>
        <w:numPr>
          <w:ilvl w:val="0"/>
          <w:numId w:val="1051"/>
        </w:numPr>
        <w:pStyle w:val="Compact"/>
      </w:pPr>
      <w:r>
        <w:t xml:space="preserve">Month #1: Arabic Name: Bahá’; English Name: Splendor; Elemental Phase: Fire; Thematic Phase: Glorification; Spiritual Function: The Point; essence of all months; attributed to</w:t>
      </w:r>
      <w:r>
        <w:t xml:space="preserve"> </w:t>
      </w:r>
      <w:r>
        <w:t xml:space="preserve">“</w:t>
      </w:r>
      <w:r>
        <w:t xml:space="preserve">He Whom God Shall Make Manifest</w:t>
      </w:r>
      <w:r>
        <w:t xml:space="preserve">”</w:t>
      </w:r>
      <w:r>
        <w:t xml:space="preserve">; Naw-Rúz = Day of</w:t>
      </w:r>
      <w:r>
        <w:t xml:space="preserve"> </w:t>
      </w:r>
      <w:r>
        <w:t xml:space="preserve">“</w:t>
      </w:r>
      <w:r>
        <w:t xml:space="preserve">There is no God but God</w:t>
      </w:r>
      <w:r>
        <w:t xml:space="preserve">”</w:t>
      </w:r>
    </w:p>
    <w:p>
      <w:pPr>
        <w:numPr>
          <w:ilvl w:val="0"/>
          <w:numId w:val="1051"/>
        </w:numPr>
        <w:pStyle w:val="Compact"/>
      </w:pPr>
      <w:r>
        <w:t xml:space="preserve">Month #2: Arabic Name: Jalál; English Name: Glory; Elemental Phase: Fire; Thematic Phase: Glorification; Spiritual Function: Kindles the fire of hearts; glory of divine majesty</w:t>
      </w:r>
    </w:p>
    <w:p>
      <w:pPr>
        <w:numPr>
          <w:ilvl w:val="0"/>
          <w:numId w:val="1051"/>
        </w:numPr>
        <w:pStyle w:val="Compact"/>
      </w:pPr>
      <w:r>
        <w:t xml:space="preserve">Month #3: Arabic Name: Jamál; English Name: Beauty; Elemental Phase: Fire; Thematic Phase: Glorification; Spiritual Function: Radiates divine beauty; fuels yearning and love</w:t>
      </w:r>
    </w:p>
    <w:p>
      <w:pPr>
        <w:numPr>
          <w:ilvl w:val="0"/>
          <w:numId w:val="1051"/>
        </w:numPr>
        <w:pStyle w:val="Compact"/>
      </w:pPr>
      <w:r>
        <w:t xml:space="preserve">Month #4: Arabic Name: ’Aẓamat; English Name: Grandeur; Elemental Phase: Air; Thematic Phase: Praise; Spiritual Function: Spirits are created and sustained through grandeur</w:t>
      </w:r>
    </w:p>
    <w:p>
      <w:pPr>
        <w:numPr>
          <w:ilvl w:val="0"/>
          <w:numId w:val="1051"/>
        </w:numPr>
        <w:pStyle w:val="Compact"/>
      </w:pPr>
      <w:r>
        <w:t xml:space="preserve">Month #5: Arabic Name: Núr; English Name: Light; Elemental Phase: Air; Thematic Phase: Praise; Spiritual Function: Light of divine guidance permeates all realities</w:t>
      </w:r>
    </w:p>
    <w:p>
      <w:pPr>
        <w:numPr>
          <w:ilvl w:val="0"/>
          <w:numId w:val="1051"/>
        </w:numPr>
        <w:pStyle w:val="Compact"/>
      </w:pPr>
      <w:r>
        <w:t xml:space="preserve">Month #6: Arabic Name: Raḥmat; English Name: Mercy; Elemental Phase: Air; Thematic Phase: Praise; Spiritual Function: Mercy as the sustaining breath of spiritual life</w:t>
      </w:r>
    </w:p>
    <w:p>
      <w:pPr>
        <w:numPr>
          <w:ilvl w:val="0"/>
          <w:numId w:val="1051"/>
        </w:numPr>
        <w:pStyle w:val="Compact"/>
      </w:pPr>
      <w:r>
        <w:t xml:space="preserve">Month #7: Arabic Name: Kalimát; English Name: Words; Elemental Phase: Air; Thematic Phase: Praise; Spiritual Function: Divine Word as sustaining truth</w:t>
      </w:r>
    </w:p>
    <w:p>
      <w:pPr>
        <w:numPr>
          <w:ilvl w:val="0"/>
          <w:numId w:val="1051"/>
        </w:numPr>
        <w:pStyle w:val="Compact"/>
      </w:pPr>
      <w:r>
        <w:t xml:space="preserve">Month #8: Arabic Name: Kamál; English Name: Perfection; Elemental Phase: Water; Thematic Phase: Oneness; Spiritual Function: Dies to imperfection; lives in affirmation of truth</w:t>
      </w:r>
    </w:p>
    <w:p>
      <w:pPr>
        <w:numPr>
          <w:ilvl w:val="0"/>
          <w:numId w:val="1051"/>
        </w:numPr>
        <w:pStyle w:val="Compact"/>
      </w:pPr>
      <w:r>
        <w:t xml:space="preserve">Month #9: Arabic Name: Asmá’; English Name: Names; Elemental Phase: Water; Thematic Phase: Oneness; Spiritual Function: Realization of divine Names beyond negation</w:t>
      </w:r>
    </w:p>
    <w:p>
      <w:pPr>
        <w:numPr>
          <w:ilvl w:val="0"/>
          <w:numId w:val="1051"/>
        </w:numPr>
        <w:pStyle w:val="Compact"/>
      </w:pPr>
      <w:r>
        <w:t xml:space="preserve">Month #10: Arabic Name: ’Izzat; English Name: Might; Elemental Phase: Water; Thematic Phase: Oneness; Spiritual Function: Strength comes through detachment from ego</w:t>
      </w:r>
    </w:p>
    <w:p>
      <w:pPr>
        <w:numPr>
          <w:ilvl w:val="0"/>
          <w:numId w:val="1051"/>
        </w:numPr>
        <w:pStyle w:val="Compact"/>
      </w:pPr>
      <w:r>
        <w:t xml:space="preserve">Month #11: Arabic Name: Mashíyyat; English Name: Will; Elemental Phase: Water; Thematic Phase: Oneness; Spiritual Function: Submission to the divine Will negates self will</w:t>
      </w:r>
    </w:p>
    <w:p>
      <w:pPr>
        <w:numPr>
          <w:ilvl w:val="0"/>
          <w:numId w:val="1051"/>
        </w:numPr>
        <w:pStyle w:val="Compact"/>
      </w:pPr>
      <w:r>
        <w:t xml:space="preserve">Month #12: Arabic Name: ’Ilm; English Name: Knowledge; Elemental Phase: Water; Thematic Phase: Oneness; Spiritual Function: True knowledge arises through divine affirmation</w:t>
      </w:r>
    </w:p>
    <w:p>
      <w:pPr>
        <w:numPr>
          <w:ilvl w:val="0"/>
          <w:numId w:val="1051"/>
        </w:numPr>
        <w:pStyle w:val="Compact"/>
      </w:pPr>
      <w:r>
        <w:t xml:space="preserve">Month #13: Arabic Name: Qudrat; English Name: Power; Elemental Phase: Water; Thematic Phase: Oneness; Spiritual Function: Divine power is manifest through surrender</w:t>
      </w:r>
    </w:p>
    <w:p>
      <w:pPr>
        <w:numPr>
          <w:ilvl w:val="0"/>
          <w:numId w:val="1051"/>
        </w:numPr>
        <w:pStyle w:val="Compact"/>
      </w:pPr>
      <w:r>
        <w:t xml:space="preserve">Month #14: Arabic Name: Qawl; English Name: Speech; Elemental Phase: Dust; Thematic Phase: Magnification; Spiritual Function: Exalted speech gives life to souls purified from falsehood</w:t>
      </w:r>
    </w:p>
    <w:p>
      <w:pPr>
        <w:numPr>
          <w:ilvl w:val="0"/>
          <w:numId w:val="1051"/>
        </w:numPr>
        <w:pStyle w:val="Compact"/>
      </w:pPr>
      <w:r>
        <w:t xml:space="preserve">Month #15: Arabic Name: Masá’il; English Name: Questions; Elemental Phase: Dust; Thematic Phase: Magnification; Spiritual Function: Questioning as a means of spiritual revival</w:t>
      </w:r>
    </w:p>
    <w:p>
      <w:pPr>
        <w:numPr>
          <w:ilvl w:val="0"/>
          <w:numId w:val="1051"/>
        </w:numPr>
        <w:pStyle w:val="Compact"/>
      </w:pPr>
      <w:r>
        <w:t xml:space="preserve">Month #16: Arabic Name: Sharaf; English Name: Honor; Elemental Phase: Dust; Thematic Phase: Magnification; Spiritual Function: Honor gained by steadfastness in God’s love</w:t>
      </w:r>
    </w:p>
    <w:p>
      <w:pPr>
        <w:numPr>
          <w:ilvl w:val="0"/>
          <w:numId w:val="1051"/>
        </w:numPr>
        <w:pStyle w:val="Compact"/>
      </w:pPr>
      <w:r>
        <w:t xml:space="preserve">Month #17: Arabic Name: Sultán; English Name: Sovereignty; Elemental Phase: Dust; Thematic Phase: Magnification; Spiritual Function: Life granted by renouncing all but divine sovereignty</w:t>
      </w:r>
    </w:p>
    <w:p>
      <w:pPr>
        <w:numPr>
          <w:ilvl w:val="0"/>
          <w:numId w:val="1051"/>
        </w:numPr>
        <w:pStyle w:val="Compact"/>
      </w:pPr>
      <w:r>
        <w:t xml:space="preserve">Month #18: Arabic Name: Mulk; English Name: Dominion; Elemental Phase: Dust; Thematic Phase: Magnification; Spiritual Function: All divine elements are gathered into earthly dominion</w:t>
      </w:r>
    </w:p>
    <w:p>
      <w:pPr>
        <w:numPr>
          <w:ilvl w:val="0"/>
          <w:numId w:val="1051"/>
        </w:numPr>
        <w:pStyle w:val="Compact"/>
      </w:pPr>
      <w:r>
        <w:t xml:space="preserve">Ayyám-i-Há: English Name: The Days of Há; Thematic Phase: Intercalary; Spiritual Function: Days outside the calendar cycle; devoted to hospitality, charity, and spiritual preparation before the Fast</w:t>
      </w:r>
    </w:p>
    <w:p>
      <w:pPr>
        <w:numPr>
          <w:ilvl w:val="0"/>
          <w:numId w:val="1051"/>
        </w:numPr>
        <w:pStyle w:val="Compact"/>
      </w:pPr>
      <w:r>
        <w:t xml:space="preserve">Month #19: Arabic Name:</w:t>
      </w:r>
      <w:r>
        <w:t xml:space="preserve"> </w:t>
      </w:r>
      <w:r>
        <w:t xml:space="preserve">‘</w:t>
      </w:r>
      <w:r>
        <w:t xml:space="preserve">Alá</w:t>
      </w:r>
      <w:r>
        <w:t xml:space="preserve">’</w:t>
      </w:r>
      <w:r>
        <w:t xml:space="preserve">; English Name: Loftiness; Elemental Phase: Dust; Thematic Phase: Magnification; Spiritual Function: Final culmination; fruit of divine creation realized</w:t>
      </w:r>
    </w:p>
    <w:bookmarkEnd w:id="1040"/>
    <w:bookmarkStart w:id="1042" w:name="names-of-the-weeks"/>
    <w:p>
      <w:pPr>
        <w:pStyle w:val="Heading2"/>
      </w:pPr>
      <w:r>
        <w:t xml:space="preserve">Names of the Weeks</w:t>
      </w:r>
    </w:p>
    <w:p>
      <w:pPr>
        <w:pStyle w:val="FirstParagraph"/>
      </w:pPr>
      <w:r>
        <w:t xml:space="preserve">The following list presents the days of the week within the Badí‘ calendar.</w:t>
      </w:r>
      <w:r>
        <w:rPr>
          <w:rStyle w:val="FootnoteReference"/>
        </w:rPr>
        <w:footnoteReference w:id="1041"/>
      </w:r>
    </w:p>
    <w:p>
      <w:pPr>
        <w:numPr>
          <w:ilvl w:val="0"/>
          <w:numId w:val="1052"/>
        </w:numPr>
        <w:pStyle w:val="Compact"/>
      </w:pPr>
      <w:r>
        <w:t xml:space="preserve">Arabic Name: Jalál; English Meaning: Glory; Julian counterpart: Saturday</w:t>
      </w:r>
    </w:p>
    <w:p>
      <w:pPr>
        <w:numPr>
          <w:ilvl w:val="0"/>
          <w:numId w:val="1052"/>
        </w:numPr>
        <w:pStyle w:val="Compact"/>
      </w:pPr>
      <w:r>
        <w:t xml:space="preserve">Arabic Name: Jamál; English Meaning: Beauty; Julian counterpart: Sunday</w:t>
      </w:r>
    </w:p>
    <w:p>
      <w:pPr>
        <w:numPr>
          <w:ilvl w:val="0"/>
          <w:numId w:val="1052"/>
        </w:numPr>
        <w:pStyle w:val="Compact"/>
      </w:pPr>
      <w:r>
        <w:t xml:space="preserve">Arabic Name: Kamál; English Meaning: Perfection; Julian counterpart: Monday</w:t>
      </w:r>
    </w:p>
    <w:p>
      <w:pPr>
        <w:numPr>
          <w:ilvl w:val="0"/>
          <w:numId w:val="1052"/>
        </w:numPr>
        <w:pStyle w:val="Compact"/>
      </w:pPr>
      <w:r>
        <w:t xml:space="preserve">Arabic Name: Fidál; English Meaning: Grace; Julian counterpart: Tuesday</w:t>
      </w:r>
    </w:p>
    <w:p>
      <w:pPr>
        <w:numPr>
          <w:ilvl w:val="0"/>
          <w:numId w:val="1052"/>
        </w:numPr>
        <w:pStyle w:val="Compact"/>
      </w:pPr>
      <w:r>
        <w:t xml:space="preserve">Arabic Name: ’Idál; English Meaning: Justice; Julian counterpart: Wednesday</w:t>
      </w:r>
    </w:p>
    <w:p>
      <w:pPr>
        <w:numPr>
          <w:ilvl w:val="0"/>
          <w:numId w:val="1052"/>
        </w:numPr>
        <w:pStyle w:val="Compact"/>
      </w:pPr>
      <w:r>
        <w:t xml:space="preserve">Arabic Name: Istijlál; English Meaning: Majesty; Julian counterpart: Thursday</w:t>
      </w:r>
    </w:p>
    <w:p>
      <w:pPr>
        <w:numPr>
          <w:ilvl w:val="0"/>
          <w:numId w:val="1052"/>
        </w:numPr>
        <w:pStyle w:val="Compact"/>
      </w:pPr>
      <w:r>
        <w:t xml:space="preserve">Arabic Name: Istiqlál; English Meaning: Independence; Julian counterpart: Friday</w:t>
      </w:r>
    </w:p>
    <w:bookmarkEnd w:id="1042"/>
    <w:bookmarkStart w:id="1043" w:name="names-of-the-years"/>
    <w:p>
      <w:pPr>
        <w:pStyle w:val="Heading2"/>
      </w:pPr>
      <w:r>
        <w:t xml:space="preserve">Names of the Years</w:t>
      </w:r>
    </w:p>
    <w:p>
      <w:pPr>
        <w:pStyle w:val="FirstParagraph"/>
      </w:pPr>
      <w:r>
        <w:t xml:space="preserve">The following section explains how each year in the Badí‘ system carries symbolic meaning rooted in the writings of the Báb. This list identifies the words and symbolic letters that correspond to the numbers 1 through 19 within the mathematical and theological systems described in the writings of the Báb.</w:t>
      </w:r>
    </w:p>
    <w:p>
      <w:pPr>
        <w:numPr>
          <w:ilvl w:val="0"/>
          <w:numId w:val="1053"/>
        </w:numPr>
        <w:pStyle w:val="Compact"/>
      </w:pPr>
      <w:r>
        <w:t xml:space="preserve">Alif: The first of all things and the station of the Point</w:t>
      </w:r>
    </w:p>
    <w:p>
      <w:pPr>
        <w:numPr>
          <w:ilvl w:val="0"/>
          <w:numId w:val="1053"/>
        </w:numPr>
        <w:pStyle w:val="Compact"/>
      </w:pPr>
      <w:r>
        <w:t xml:space="preserve">Bá’: The first letter of the</w:t>
      </w:r>
      <w:r>
        <w:t xml:space="preserve"> </w:t>
      </w:r>
      <w:r>
        <w:rPr>
          <w:iCs/>
          <w:i/>
        </w:rPr>
        <w:t xml:space="preserve">Basmalah</w:t>
      </w:r>
      <w:r>
        <w:t xml:space="preserve"> </w:t>
      </w:r>
      <w:r>
        <w:t xml:space="preserve">and the beginning of the written Book</w:t>
      </w:r>
    </w:p>
    <w:p>
      <w:pPr>
        <w:numPr>
          <w:ilvl w:val="0"/>
          <w:numId w:val="1053"/>
        </w:numPr>
        <w:pStyle w:val="Compact"/>
      </w:pPr>
      <w:r>
        <w:t xml:space="preserve">Ab: The station of the singular third person form and the beginning of derivation</w:t>
      </w:r>
    </w:p>
    <w:p>
      <w:pPr>
        <w:numPr>
          <w:ilvl w:val="0"/>
          <w:numId w:val="1053"/>
        </w:numPr>
        <w:pStyle w:val="Compact"/>
      </w:pPr>
      <w:r>
        <w:t xml:space="preserve">Dál: The throne of the Will and the fourth pillar of the Temple</w:t>
      </w:r>
    </w:p>
    <w:p>
      <w:pPr>
        <w:numPr>
          <w:ilvl w:val="0"/>
          <w:numId w:val="1053"/>
        </w:numPr>
        <w:pStyle w:val="Compact"/>
      </w:pPr>
      <w:r>
        <w:t xml:space="preserve">Báb: The letter</w:t>
      </w:r>
      <w:r>
        <w:t xml:space="preserve"> </w:t>
      </w:r>
      <w:r>
        <w:rPr>
          <w:iCs/>
          <w:i/>
        </w:rPr>
        <w:t xml:space="preserve">Há</w:t>
      </w:r>
      <w:r>
        <w:t xml:space="preserve"> </w:t>
      </w:r>
      <w:r>
        <w:t xml:space="preserve">(5) and the manifest aspect of the human temple</w:t>
      </w:r>
    </w:p>
    <w:p>
      <w:pPr>
        <w:numPr>
          <w:ilvl w:val="0"/>
          <w:numId w:val="1053"/>
        </w:numPr>
        <w:pStyle w:val="Compact"/>
      </w:pPr>
      <w:r>
        <w:t xml:space="preserve">Váv: The inner side of the human temple and the number of the word</w:t>
      </w:r>
      <w:r>
        <w:t xml:space="preserve"> </w:t>
      </w:r>
      <w:r>
        <w:rPr>
          <w:iCs/>
          <w:i/>
        </w:rPr>
        <w:t xml:space="preserve">Huva</w:t>
      </w:r>
      <w:r>
        <w:t xml:space="preserve"> </w:t>
      </w:r>
      <w:r>
        <w:t xml:space="preserve">(He)</w:t>
      </w:r>
    </w:p>
    <w:p>
      <w:pPr>
        <w:numPr>
          <w:ilvl w:val="0"/>
          <w:numId w:val="1053"/>
        </w:numPr>
        <w:pStyle w:val="Compact"/>
      </w:pPr>
      <w:r>
        <w:t xml:space="preserve">Abad: The number of the reeds in the thicket of the Divine Realm and the Seven Acts of God</w:t>
      </w:r>
    </w:p>
    <w:p>
      <w:pPr>
        <w:numPr>
          <w:ilvl w:val="0"/>
          <w:numId w:val="1053"/>
        </w:numPr>
        <w:pStyle w:val="Compact"/>
      </w:pPr>
      <w:r>
        <w:t xml:space="preserve">Jád: The second letter of the name of the Point and the numerical value of the letter</w:t>
      </w:r>
      <w:r>
        <w:t xml:space="preserve"> </w:t>
      </w:r>
      <w:r>
        <w:rPr>
          <w:iCs/>
          <w:i/>
        </w:rPr>
        <w:t xml:space="preserve">Há</w:t>
      </w:r>
      <w:r>
        <w:t xml:space="preserve"> </w:t>
      </w:r>
      <w:r>
        <w:t xml:space="preserve">in the rank of air</w:t>
      </w:r>
    </w:p>
    <w:p>
      <w:pPr>
        <w:numPr>
          <w:ilvl w:val="0"/>
          <w:numId w:val="1053"/>
        </w:numPr>
        <w:pStyle w:val="Compact"/>
      </w:pPr>
      <w:r>
        <w:t xml:space="preserve">Bahá: The first month of the year and the name of the Unseen</w:t>
      </w:r>
    </w:p>
    <w:p>
      <w:pPr>
        <w:numPr>
          <w:ilvl w:val="0"/>
          <w:numId w:val="1053"/>
        </w:numPr>
        <w:pStyle w:val="Compact"/>
      </w:pPr>
      <w:r>
        <w:t xml:space="preserve">Hubb: The letter</w:t>
      </w:r>
      <w:r>
        <w:t xml:space="preserve"> </w:t>
      </w:r>
      <w:r>
        <w:rPr>
          <w:iCs/>
          <w:i/>
        </w:rPr>
        <w:t xml:space="preserve">Yá’</w:t>
      </w:r>
      <w:r>
        <w:t xml:space="preserve"> </w:t>
      </w:r>
      <w:r>
        <w:t xml:space="preserve">(10) and the rank of manifestation within the first decade</w:t>
      </w:r>
    </w:p>
    <w:p>
      <w:pPr>
        <w:numPr>
          <w:ilvl w:val="0"/>
          <w:numId w:val="1053"/>
        </w:numPr>
        <w:pStyle w:val="Compact"/>
      </w:pPr>
      <w:r>
        <w:t xml:space="preserve">Bahháj: The age of maturity for marriage and the number of the word</w:t>
      </w:r>
      <w:r>
        <w:t xml:space="preserve"> </w:t>
      </w:r>
      <w:r>
        <w:rPr>
          <w:iCs/>
          <w:i/>
        </w:rPr>
        <w:t xml:space="preserve">Huwa</w:t>
      </w:r>
      <w:r>
        <w:t xml:space="preserve"> </w:t>
      </w:r>
      <w:r>
        <w:t xml:space="preserve">(He)</w:t>
      </w:r>
    </w:p>
    <w:p>
      <w:pPr>
        <w:numPr>
          <w:ilvl w:val="0"/>
          <w:numId w:val="1053"/>
        </w:numPr>
        <w:pStyle w:val="Compact"/>
      </w:pPr>
      <w:r>
        <w:t xml:space="preserve">Javáb: The number of the letters of the testimony</w:t>
      </w:r>
      <w:r>
        <w:t xml:space="preserve"> </w:t>
      </w:r>
      <w:r>
        <w:rPr>
          <w:iCs/>
          <w:i/>
        </w:rPr>
        <w:t xml:space="preserve">La ilaha illa’Llah</w:t>
      </w:r>
      <w:r>
        <w:t xml:space="preserve"> </w:t>
      </w:r>
      <w:r>
        <w:t xml:space="preserve">and the pillars of the Manifest Name</w:t>
      </w:r>
    </w:p>
    <w:p>
      <w:pPr>
        <w:numPr>
          <w:ilvl w:val="0"/>
          <w:numId w:val="1053"/>
        </w:numPr>
        <w:pStyle w:val="Compact"/>
      </w:pPr>
      <w:r>
        <w:t xml:space="preserve">Ahad: The Name of Oneness and the number of the station of the Unseen</w:t>
      </w:r>
    </w:p>
    <w:p>
      <w:pPr>
        <w:numPr>
          <w:ilvl w:val="0"/>
          <w:numId w:val="1053"/>
        </w:numPr>
        <w:pStyle w:val="Compact"/>
      </w:pPr>
      <w:r>
        <w:t xml:space="preserve">Vahháb: The number of the Hand of God and the total of the Letters of the Face</w:t>
      </w:r>
    </w:p>
    <w:p>
      <w:pPr>
        <w:numPr>
          <w:ilvl w:val="0"/>
          <w:numId w:val="1053"/>
        </w:numPr>
        <w:pStyle w:val="Compact"/>
      </w:pPr>
      <w:r>
        <w:t xml:space="preserve">Vidád: The number of the wall (</w:t>
      </w:r>
      <w:r>
        <w:rPr>
          <w:iCs/>
          <w:i/>
        </w:rPr>
        <w:t xml:space="preserve">bi-súr</w:t>
      </w:r>
      <w:r>
        <w:t xml:space="preserve">) mentioned in the mysteries of the Surih of Unity</w:t>
      </w:r>
    </w:p>
    <w:p>
      <w:pPr>
        <w:numPr>
          <w:ilvl w:val="0"/>
          <w:numId w:val="1053"/>
        </w:numPr>
        <w:pStyle w:val="Compact"/>
      </w:pPr>
      <w:r>
        <w:t xml:space="preserve">Badí’: A station of completion and the rank of the first manifestation of the name</w:t>
      </w:r>
      <w:r>
        <w:t xml:space="preserve"> </w:t>
      </w:r>
      <w:r>
        <w:rPr>
          <w:iCs/>
          <w:i/>
        </w:rPr>
        <w:t xml:space="preserve">al Jawád</w:t>
      </w:r>
    </w:p>
    <w:p>
      <w:pPr>
        <w:numPr>
          <w:ilvl w:val="0"/>
          <w:numId w:val="1053"/>
        </w:numPr>
        <w:pStyle w:val="Compact"/>
      </w:pPr>
      <w:r>
        <w:t xml:space="preserve">Bahí: The spirit of geometry and the name whose beginning is</w:t>
      </w:r>
      <w:r>
        <w:t xml:space="preserve"> </w:t>
      </w:r>
      <w:r>
        <w:rPr>
          <w:iCs/>
          <w:i/>
        </w:rPr>
        <w:t xml:space="preserve">Bahá’</w:t>
      </w:r>
    </w:p>
    <w:p>
      <w:pPr>
        <w:numPr>
          <w:ilvl w:val="0"/>
          <w:numId w:val="1053"/>
        </w:numPr>
        <w:pStyle w:val="Compact"/>
      </w:pPr>
      <w:r>
        <w:t xml:space="preserve">Abhá: The number of the word</w:t>
      </w:r>
      <w:r>
        <w:t xml:space="preserve"> </w:t>
      </w:r>
      <w:r>
        <w:rPr>
          <w:iCs/>
          <w:i/>
        </w:rPr>
        <w:t xml:space="preserve">Hayy</w:t>
      </w:r>
      <w:r>
        <w:t xml:space="preserve"> </w:t>
      </w:r>
      <w:r>
        <w:t xml:space="preserve">(The Living) and the count of the Letters of the Living circling the Point</w:t>
      </w:r>
    </w:p>
    <w:p>
      <w:pPr>
        <w:numPr>
          <w:ilvl w:val="0"/>
          <w:numId w:val="1053"/>
        </w:numPr>
        <w:pStyle w:val="Compact"/>
      </w:pPr>
      <w:r>
        <w:t xml:space="preserve">Váhid: The number of all things (</w:t>
      </w:r>
      <w:r>
        <w:rPr>
          <w:iCs/>
          <w:i/>
        </w:rPr>
        <w:t xml:space="preserve">Kullu Shay’</w:t>
      </w:r>
      <w:r>
        <w:t xml:space="preserve">) in its first degree and the name of the Unity</w:t>
      </w:r>
    </w:p>
    <w:p>
      <w:r>
        <w:br w:type="page"/>
      </w:r>
    </w:p>
    <w:bookmarkEnd w:id="1043"/>
    <w:bookmarkEnd w:id="1044"/>
    <w:bookmarkStart w:id="1048" w:name="appendix-e-virtues"/>
    <w:p>
      <w:pPr>
        <w:pStyle w:val="Heading1"/>
      </w:pPr>
      <w:r>
        <w:t xml:space="preserve">Appendix E: Virtues</w:t>
      </w:r>
    </w:p>
    <w:p>
      <w:pPr>
        <w:pStyle w:val="FirstParagraph"/>
      </w:pPr>
      <w:r>
        <w:t xml:space="preserve">Here is a list of the virtues identified in the Kitáb-i-Aqdas and used for the Constellation of Virtues called Unity:</w:t>
      </w:r>
    </w:p>
    <w:bookmarkStart w:id="1045" w:name="foundational-virtues-1"/>
    <w:p>
      <w:pPr>
        <w:pStyle w:val="Heading2"/>
      </w:pPr>
      <w:r>
        <w:t xml:space="preserve">Foundational Virtues</w:t>
      </w:r>
    </w:p>
    <w:p>
      <w:pPr>
        <w:numPr>
          <w:ilvl w:val="0"/>
          <w:numId w:val="1054"/>
        </w:numPr>
        <w:pStyle w:val="Compact"/>
      </w:pPr>
      <w:r>
        <w:t xml:space="preserve">Fear of God</w:t>
      </w:r>
    </w:p>
    <w:p>
      <w:pPr>
        <w:numPr>
          <w:ilvl w:val="0"/>
          <w:numId w:val="1054"/>
        </w:numPr>
        <w:pStyle w:val="Compact"/>
      </w:pPr>
      <w:r>
        <w:t xml:space="preserve">Love of God</w:t>
      </w:r>
    </w:p>
    <w:p>
      <w:pPr>
        <w:numPr>
          <w:ilvl w:val="0"/>
          <w:numId w:val="1054"/>
        </w:numPr>
        <w:pStyle w:val="Compact"/>
      </w:pPr>
      <w:r>
        <w:t xml:space="preserve">Moderation</w:t>
      </w:r>
    </w:p>
    <w:bookmarkEnd w:id="1045"/>
    <w:bookmarkStart w:id="1046" w:name="innate-virtues"/>
    <w:p>
      <w:pPr>
        <w:pStyle w:val="Heading2"/>
      </w:pPr>
      <w:r>
        <w:t xml:space="preserve">Innate Virtues</w:t>
      </w:r>
    </w:p>
    <w:p>
      <w:pPr>
        <w:numPr>
          <w:ilvl w:val="0"/>
          <w:numId w:val="1055"/>
        </w:numPr>
        <w:pStyle w:val="Compact"/>
      </w:pPr>
      <w:r>
        <w:t xml:space="preserve">Piety</w:t>
      </w:r>
    </w:p>
    <w:p>
      <w:pPr>
        <w:numPr>
          <w:ilvl w:val="0"/>
          <w:numId w:val="1055"/>
        </w:numPr>
        <w:pStyle w:val="Compact"/>
      </w:pPr>
      <w:r>
        <w:t xml:space="preserve">Pure Truthfulness</w:t>
      </w:r>
    </w:p>
    <w:p>
      <w:pPr>
        <w:numPr>
          <w:ilvl w:val="0"/>
          <w:numId w:val="1055"/>
        </w:numPr>
        <w:pStyle w:val="Compact"/>
      </w:pPr>
      <w:r>
        <w:t xml:space="preserve">Courtesy</w:t>
      </w:r>
    </w:p>
    <w:p>
      <w:pPr>
        <w:numPr>
          <w:ilvl w:val="0"/>
          <w:numId w:val="1055"/>
        </w:numPr>
        <w:pStyle w:val="Compact"/>
      </w:pPr>
      <w:r>
        <w:t xml:space="preserve">Loyalty</w:t>
      </w:r>
    </w:p>
    <w:p>
      <w:pPr>
        <w:numPr>
          <w:ilvl w:val="0"/>
          <w:numId w:val="1055"/>
        </w:numPr>
        <w:pStyle w:val="Compact"/>
      </w:pPr>
      <w:r>
        <w:t xml:space="preserve">Trustworthiness</w:t>
      </w:r>
    </w:p>
    <w:bookmarkEnd w:id="1046"/>
    <w:bookmarkStart w:id="1047" w:name="emergent-virtues"/>
    <w:p>
      <w:pPr>
        <w:pStyle w:val="Heading2"/>
      </w:pPr>
      <w:r>
        <w:t xml:space="preserve">Emergent Virtues</w:t>
      </w:r>
    </w:p>
    <w:p>
      <w:pPr>
        <w:numPr>
          <w:ilvl w:val="0"/>
          <w:numId w:val="1056"/>
        </w:numPr>
        <w:pStyle w:val="Compact"/>
      </w:pPr>
      <w:r>
        <w:t xml:space="preserve">Emerging from Piety</w:t>
      </w:r>
    </w:p>
    <w:p>
      <w:pPr>
        <w:numPr>
          <w:ilvl w:val="1"/>
          <w:numId w:val="1057"/>
        </w:numPr>
        <w:pStyle w:val="Compact"/>
      </w:pPr>
      <w:r>
        <w:t xml:space="preserve">Detachment</w:t>
      </w:r>
    </w:p>
    <w:p>
      <w:pPr>
        <w:numPr>
          <w:ilvl w:val="1"/>
          <w:numId w:val="1057"/>
        </w:numPr>
        <w:pStyle w:val="Compact"/>
      </w:pPr>
      <w:r>
        <w:t xml:space="preserve">Humility</w:t>
      </w:r>
    </w:p>
    <w:p>
      <w:pPr>
        <w:numPr>
          <w:ilvl w:val="1"/>
          <w:numId w:val="1057"/>
        </w:numPr>
        <w:pStyle w:val="Compact"/>
      </w:pPr>
      <w:r>
        <w:t xml:space="preserve">Lowliness</w:t>
      </w:r>
    </w:p>
    <w:p>
      <w:pPr>
        <w:numPr>
          <w:ilvl w:val="1"/>
          <w:numId w:val="1057"/>
        </w:numPr>
        <w:pStyle w:val="Compact"/>
      </w:pPr>
      <w:r>
        <w:t xml:space="preserve">Reverence</w:t>
      </w:r>
    </w:p>
    <w:p>
      <w:pPr>
        <w:numPr>
          <w:ilvl w:val="1"/>
          <w:numId w:val="1057"/>
        </w:numPr>
        <w:pStyle w:val="Compact"/>
      </w:pPr>
      <w:r>
        <w:t xml:space="preserve">Thankfulness</w:t>
      </w:r>
    </w:p>
    <w:p>
      <w:pPr>
        <w:numPr>
          <w:ilvl w:val="0"/>
          <w:numId w:val="1056"/>
        </w:numPr>
        <w:pStyle w:val="Compact"/>
      </w:pPr>
      <w:r>
        <w:t xml:space="preserve">Emerging from Pure Truthfulness</w:t>
      </w:r>
    </w:p>
    <w:p>
      <w:pPr>
        <w:numPr>
          <w:ilvl w:val="1"/>
          <w:numId w:val="1058"/>
        </w:numPr>
        <w:pStyle w:val="Compact"/>
      </w:pPr>
      <w:r>
        <w:t xml:space="preserve">Eloquence</w:t>
      </w:r>
    </w:p>
    <w:p>
      <w:pPr>
        <w:numPr>
          <w:ilvl w:val="1"/>
          <w:numId w:val="1058"/>
        </w:numPr>
        <w:pStyle w:val="Compact"/>
      </w:pPr>
      <w:r>
        <w:t xml:space="preserve">Heedfulness</w:t>
      </w:r>
    </w:p>
    <w:p>
      <w:pPr>
        <w:numPr>
          <w:ilvl w:val="1"/>
          <w:numId w:val="1058"/>
        </w:numPr>
        <w:pStyle w:val="Compact"/>
      </w:pPr>
      <w:r>
        <w:t xml:space="preserve">Perception</w:t>
      </w:r>
    </w:p>
    <w:p>
      <w:pPr>
        <w:numPr>
          <w:ilvl w:val="1"/>
          <w:numId w:val="1058"/>
        </w:numPr>
        <w:pStyle w:val="Compact"/>
      </w:pPr>
      <w:r>
        <w:t xml:space="preserve">Reason</w:t>
      </w:r>
    </w:p>
    <w:p>
      <w:pPr>
        <w:numPr>
          <w:ilvl w:val="1"/>
          <w:numId w:val="1058"/>
        </w:numPr>
        <w:pStyle w:val="Compact"/>
      </w:pPr>
      <w:r>
        <w:t xml:space="preserve">Sincerity</w:t>
      </w:r>
    </w:p>
    <w:p>
      <w:pPr>
        <w:numPr>
          <w:ilvl w:val="1"/>
          <w:numId w:val="1058"/>
        </w:numPr>
        <w:pStyle w:val="Compact"/>
      </w:pPr>
      <w:r>
        <w:t xml:space="preserve">Wisdom</w:t>
      </w:r>
    </w:p>
    <w:p>
      <w:pPr>
        <w:numPr>
          <w:ilvl w:val="0"/>
          <w:numId w:val="1056"/>
        </w:numPr>
        <w:pStyle w:val="Compact"/>
      </w:pPr>
      <w:r>
        <w:t xml:space="preserve">Emerging from Courtesy</w:t>
      </w:r>
    </w:p>
    <w:p>
      <w:pPr>
        <w:numPr>
          <w:ilvl w:val="1"/>
          <w:numId w:val="1059"/>
        </w:numPr>
        <w:pStyle w:val="Compact"/>
      </w:pPr>
      <w:r>
        <w:t xml:space="preserve">Dignity</w:t>
      </w:r>
    </w:p>
    <w:p>
      <w:pPr>
        <w:numPr>
          <w:ilvl w:val="1"/>
          <w:numId w:val="1059"/>
        </w:numPr>
        <w:pStyle w:val="Compact"/>
      </w:pPr>
      <w:r>
        <w:t xml:space="preserve">Fairness</w:t>
      </w:r>
    </w:p>
    <w:p>
      <w:pPr>
        <w:numPr>
          <w:ilvl w:val="1"/>
          <w:numId w:val="1059"/>
        </w:numPr>
        <w:pStyle w:val="Compact"/>
      </w:pPr>
      <w:r>
        <w:t xml:space="preserve">Kindness</w:t>
      </w:r>
    </w:p>
    <w:p>
      <w:pPr>
        <w:numPr>
          <w:ilvl w:val="1"/>
          <w:numId w:val="1059"/>
        </w:numPr>
        <w:pStyle w:val="Compact"/>
      </w:pPr>
      <w:r>
        <w:t xml:space="preserve">Purity</w:t>
      </w:r>
    </w:p>
    <w:p>
      <w:pPr>
        <w:numPr>
          <w:ilvl w:val="1"/>
          <w:numId w:val="1059"/>
        </w:numPr>
        <w:pStyle w:val="Compact"/>
      </w:pPr>
      <w:r>
        <w:t xml:space="preserve">Radiance</w:t>
      </w:r>
    </w:p>
    <w:p>
      <w:pPr>
        <w:numPr>
          <w:ilvl w:val="1"/>
          <w:numId w:val="1059"/>
        </w:numPr>
        <w:pStyle w:val="Compact"/>
      </w:pPr>
      <w:r>
        <w:t xml:space="preserve">Refinement</w:t>
      </w:r>
    </w:p>
    <w:p>
      <w:pPr>
        <w:numPr>
          <w:ilvl w:val="0"/>
          <w:numId w:val="1056"/>
        </w:numPr>
        <w:pStyle w:val="Compact"/>
      </w:pPr>
      <w:r>
        <w:t xml:space="preserve">Emerging from Loyalty</w:t>
      </w:r>
    </w:p>
    <w:p>
      <w:pPr>
        <w:numPr>
          <w:ilvl w:val="1"/>
          <w:numId w:val="1060"/>
        </w:numPr>
        <w:pStyle w:val="Compact"/>
      </w:pPr>
      <w:r>
        <w:t xml:space="preserve">Fidelity</w:t>
      </w:r>
    </w:p>
    <w:p>
      <w:pPr>
        <w:numPr>
          <w:ilvl w:val="1"/>
          <w:numId w:val="1060"/>
        </w:numPr>
        <w:pStyle w:val="Compact"/>
      </w:pPr>
      <w:r>
        <w:t xml:space="preserve">Morality</w:t>
      </w:r>
    </w:p>
    <w:p>
      <w:pPr>
        <w:numPr>
          <w:ilvl w:val="1"/>
          <w:numId w:val="1060"/>
        </w:numPr>
        <w:pStyle w:val="Compact"/>
      </w:pPr>
      <w:r>
        <w:t xml:space="preserve">Righteousness</w:t>
      </w:r>
    </w:p>
    <w:p>
      <w:pPr>
        <w:numPr>
          <w:ilvl w:val="1"/>
          <w:numId w:val="1060"/>
        </w:numPr>
        <w:pStyle w:val="Compact"/>
      </w:pPr>
      <w:r>
        <w:t xml:space="preserve">Servitude</w:t>
      </w:r>
    </w:p>
    <w:p>
      <w:pPr>
        <w:numPr>
          <w:ilvl w:val="1"/>
          <w:numId w:val="1060"/>
        </w:numPr>
        <w:pStyle w:val="Compact"/>
      </w:pPr>
      <w:r>
        <w:t xml:space="preserve">Steadfastness</w:t>
      </w:r>
    </w:p>
    <w:p>
      <w:pPr>
        <w:numPr>
          <w:ilvl w:val="0"/>
          <w:numId w:val="1056"/>
        </w:numPr>
        <w:pStyle w:val="Compact"/>
      </w:pPr>
      <w:r>
        <w:t xml:space="preserve">Emerging from Trustworthiness</w:t>
      </w:r>
    </w:p>
    <w:p>
      <w:pPr>
        <w:numPr>
          <w:ilvl w:val="1"/>
          <w:numId w:val="1061"/>
        </w:numPr>
        <w:pStyle w:val="Compact"/>
      </w:pPr>
      <w:r>
        <w:t xml:space="preserve">Justice</w:t>
      </w:r>
    </w:p>
    <w:p>
      <w:pPr>
        <w:numPr>
          <w:ilvl w:val="1"/>
          <w:numId w:val="1061"/>
        </w:numPr>
        <w:pStyle w:val="Compact"/>
      </w:pPr>
      <w:r>
        <w:t xml:space="preserve">Mindfulness</w:t>
      </w:r>
    </w:p>
    <w:p>
      <w:pPr>
        <w:numPr>
          <w:ilvl w:val="1"/>
          <w:numId w:val="1061"/>
        </w:numPr>
        <w:pStyle w:val="Compact"/>
      </w:pPr>
      <w:r>
        <w:t xml:space="preserve">Patience</w:t>
      </w:r>
    </w:p>
    <w:p>
      <w:pPr>
        <w:numPr>
          <w:ilvl w:val="1"/>
          <w:numId w:val="1061"/>
        </w:numPr>
        <w:pStyle w:val="Compact"/>
      </w:pPr>
      <w:r>
        <w:t xml:space="preserve">Repentance</w:t>
      </w:r>
    </w:p>
    <w:p>
      <w:pPr>
        <w:numPr>
          <w:ilvl w:val="1"/>
          <w:numId w:val="1061"/>
        </w:numPr>
        <w:pStyle w:val="Compact"/>
      </w:pPr>
      <w:r>
        <w:t xml:space="preserve">Submission</w:t>
      </w:r>
    </w:p>
    <w:p>
      <w:r>
        <w:br w:type="page"/>
      </w:r>
    </w:p>
    <w:bookmarkEnd w:id="1047"/>
    <w:bookmarkEnd w:id="1048"/>
    <w:bookmarkStart w:id="1051" w:name="appendix-f-the-bayánic-mithqál"/>
    <w:p>
      <w:pPr>
        <w:pStyle w:val="Heading1"/>
      </w:pPr>
      <w:r>
        <w:t xml:space="preserve">Appendix F: The Bayánic Mithqál</w:t>
      </w:r>
    </w:p>
    <w:p>
      <w:pPr>
        <w:pStyle w:val="FirstParagraph"/>
      </w:pPr>
      <w:r>
        <w:t xml:space="preserve">The Bayánic Mithqál is a unit of weight defined in the Persian Bayán (Váḥid 5, Gate 19) as the measure of nineteen grains (nakhuds).</w:t>
      </w:r>
    </w:p>
    <w:p>
      <w:pPr>
        <w:numPr>
          <w:ilvl w:val="0"/>
          <w:numId w:val="1062"/>
        </w:numPr>
        <w:pStyle w:val="Compact"/>
      </w:pPr>
      <w:r>
        <w:t xml:space="preserve">1 nakhud ≈ 0.195 grams (Qajar era standard)</w:t>
      </w:r>
      <w:r>
        <w:rPr>
          <w:rStyle w:val="FootnoteReference"/>
        </w:rPr>
        <w:footnoteReference w:id="1049"/>
      </w:r>
    </w:p>
    <w:p>
      <w:pPr>
        <w:numPr>
          <w:ilvl w:val="0"/>
          <w:numId w:val="1062"/>
        </w:numPr>
        <w:pStyle w:val="Compact"/>
      </w:pPr>
      <w:r>
        <w:t xml:space="preserve">1 Bayánic Mithqál ≈ 3.705 grams</w:t>
      </w:r>
    </w:p>
    <w:p>
      <w:pPr>
        <w:pStyle w:val="FirstParagraph"/>
      </w:pPr>
      <w:hyperlink r:id="rId1050">
        <w:r>
          <w:rPr>
            <w:rStyle w:val="Hyperlink"/>
          </w:rPr>
          <w:t xml:space="preserve">https://www.amazon.com/Measures-weights-Islamic-world-translation/dp/B0BB8CMY26</w:t>
        </w:r>
      </w:hyperlink>
    </w:p>
    <w:p>
      <w:pPr>
        <w:pStyle w:val="BodyText"/>
      </w:pPr>
      <w:r>
        <w:t xml:space="preserve">###Conversions</w:t>
      </w:r>
    </w:p>
    <w:p>
      <w:pPr>
        <w:numPr>
          <w:ilvl w:val="0"/>
          <w:numId w:val="1063"/>
        </w:numPr>
        <w:pStyle w:val="Compact"/>
      </w:pPr>
      <w:r>
        <w:t xml:space="preserve">1 Bayánic Mithqál ≈ 0.119 troy ounces</w:t>
      </w:r>
    </w:p>
    <w:p>
      <w:pPr>
        <w:numPr>
          <w:ilvl w:val="0"/>
          <w:numId w:val="1063"/>
        </w:numPr>
        <w:pStyle w:val="Compact"/>
      </w:pPr>
      <w:r>
        <w:t xml:space="preserve">9 Bayánic Mithqáls ≈ 33.345 grams ≈ 1.072 troy ounces</w:t>
      </w:r>
    </w:p>
    <w:p>
      <w:pPr>
        <w:numPr>
          <w:ilvl w:val="0"/>
          <w:numId w:val="1063"/>
        </w:numPr>
        <w:pStyle w:val="Compact"/>
      </w:pPr>
      <w:r>
        <w:t xml:space="preserve">19 Bayánic Mithqáls ≈ 70.395 grams ≈ 2.263 troy ounces</w:t>
      </w:r>
    </w:p>
    <w:p>
      <w:pPr>
        <w:numPr>
          <w:ilvl w:val="0"/>
          <w:numId w:val="1063"/>
        </w:numPr>
        <w:pStyle w:val="Compact"/>
      </w:pPr>
      <w:r>
        <w:t xml:space="preserve">95 Bayánic Mithqáls ≈ 352.975 grams ≈ 11.348 troy ounces</w:t>
      </w:r>
    </w:p>
    <w:p>
      <w:pPr>
        <w:numPr>
          <w:ilvl w:val="0"/>
          <w:numId w:val="1063"/>
        </w:numPr>
        <w:pStyle w:val="Compact"/>
      </w:pPr>
      <w:r>
        <w:t xml:space="preserve">100 Bayánic Mithqáls ≈ 370.500 grams ≈ 11.909 troy ounces</w:t>
      </w:r>
    </w:p>
    <w:p>
      <w:r>
        <w:br w:type="page"/>
      </w:r>
    </w:p>
    <w:bookmarkEnd w:id="1051"/>
    <w:bookmarkStart w:id="1054" w:name="appendix-g-child-development-model"/>
    <w:p>
      <w:pPr>
        <w:pStyle w:val="Heading1"/>
      </w:pPr>
      <w:r>
        <w:t xml:space="preserve">Appendix G: Child Development Model</w:t>
      </w:r>
    </w:p>
    <w:p>
      <w:pPr>
        <w:pStyle w:val="FirstParagraph"/>
      </w:pPr>
      <w:r>
        <w:t xml:space="preserve">The stages in this model mirror the nineteen months of the Badíʿ calendar, suggesting that human development unfolds through symbolic phases reflected in sacred time. Each year of life corresponds to a spiritual quality embedded in the calendar itself, linking personal growth with the broader rhythm of divine order.</w:t>
      </w:r>
    </w:p>
    <w:bookmarkStart w:id="1053" w:name="table-yearly-development"/>
    <w:p>
      <w:pPr>
        <w:pStyle w:val="Heading2"/>
      </w:pPr>
      <w:r>
        <w:t xml:space="preserve">Table: Yearly Development</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Age</w:t>
            </w:r>
          </w:p>
        </w:tc>
        <w:tc>
          <w:tcPr/>
          <w:p>
            <w:pPr>
              <w:pStyle w:val="Compact"/>
              <w:jc w:val="left"/>
            </w:pPr>
            <w:r>
              <w:t xml:space="preserve">Month</w:t>
            </w:r>
          </w:p>
        </w:tc>
        <w:tc>
          <w:tcPr/>
          <w:p>
            <w:pPr>
              <w:pStyle w:val="Compact"/>
              <w:jc w:val="left"/>
            </w:pPr>
            <w:r>
              <w:t xml:space="preserve">Developmental Insight</w:t>
            </w:r>
          </w:p>
        </w:tc>
      </w:tr>
      <w:tr>
        <w:tc>
          <w:tcPr/>
          <w:p>
            <w:pPr>
              <w:pStyle w:val="Compact"/>
              <w:jc w:val="left"/>
            </w:pPr>
            <w:r>
              <w:t xml:space="preserve">0 to 1</w:t>
            </w:r>
          </w:p>
        </w:tc>
        <w:tc>
          <w:tcPr/>
          <w:p>
            <w:pPr>
              <w:pStyle w:val="Compact"/>
              <w:jc w:val="left"/>
            </w:pPr>
            <w:r>
              <w:t xml:space="preserve">Bahá’ {{\arabicfont بهاء\}}</w:t>
            </w:r>
            <w:r>
              <w:t xml:space="preserve">Splendor</w:t>
            </w:r>
          </w:p>
        </w:tc>
        <w:tc>
          <w:tcPr/>
          <w:p>
            <w:pPr>
              <w:pStyle w:val="Compact"/>
              <w:jc w:val="left"/>
            </w:pPr>
            <w:r>
              <w:t xml:space="preserve">The soul awakens to existence, radiant and receptive, reflecting divine beauty. This is the first awareness of life’s light and the sacredness of being.</w:t>
            </w:r>
          </w:p>
        </w:tc>
      </w:tr>
      <w:tr>
        <w:tc>
          <w:tcPr/>
          <w:p>
            <w:pPr>
              <w:pStyle w:val="Compact"/>
              <w:jc w:val="left"/>
            </w:pPr>
            <w:r>
              <w:t xml:space="preserve">1 to 2</w:t>
            </w:r>
          </w:p>
        </w:tc>
        <w:tc>
          <w:tcPr/>
          <w:p>
            <w:pPr>
              <w:pStyle w:val="Compact"/>
              <w:jc w:val="left"/>
            </w:pPr>
            <w:r>
              <w:t xml:space="preserve">Jalál (جلال)</w:t>
            </w:r>
            <w:r>
              <w:t xml:space="preserve">Glory</w:t>
            </w:r>
          </w:p>
        </w:tc>
        <w:tc>
          <w:tcPr/>
          <w:p>
            <w:pPr>
              <w:pStyle w:val="Compact"/>
              <w:jc w:val="left"/>
            </w:pPr>
            <w:r>
              <w:t xml:space="preserve">The infant discovers the majesty of love through attachment and trust, sensing protection and reverence in caregivers and laying the foundation for awe before God.</w:t>
            </w:r>
          </w:p>
        </w:tc>
      </w:tr>
      <w:tr>
        <w:tc>
          <w:tcPr/>
          <w:p>
            <w:pPr>
              <w:pStyle w:val="Compact"/>
              <w:jc w:val="left"/>
            </w:pPr>
            <w:r>
              <w:t xml:space="preserve">2 to 3</w:t>
            </w:r>
          </w:p>
        </w:tc>
        <w:tc>
          <w:tcPr/>
          <w:p>
            <w:pPr>
              <w:pStyle w:val="Compact"/>
              <w:jc w:val="left"/>
            </w:pPr>
            <w:r>
              <w:t xml:space="preserve">Jamál (جمال)</w:t>
            </w:r>
            <w:r>
              <w:t xml:space="preserve">Beauty</w:t>
            </w:r>
          </w:p>
        </w:tc>
        <w:tc>
          <w:tcPr/>
          <w:p>
            <w:pPr>
              <w:pStyle w:val="Compact"/>
              <w:jc w:val="left"/>
            </w:pPr>
            <w:r>
              <w:t xml:space="preserve">Joy, play, and affection blossom. The child learns harmony and attraction, feeling the beauty of creation and the delight of being loved and loving.</w:t>
            </w:r>
          </w:p>
        </w:tc>
      </w:tr>
      <w:tr>
        <w:tc>
          <w:tcPr/>
          <w:p>
            <w:pPr>
              <w:pStyle w:val="Compact"/>
              <w:jc w:val="left"/>
            </w:pPr>
            <w:r>
              <w:t xml:space="preserve">3 to 4</w:t>
            </w:r>
          </w:p>
        </w:tc>
        <w:tc>
          <w:tcPr/>
          <w:p>
            <w:pPr>
              <w:pStyle w:val="Compact"/>
              <w:jc w:val="left"/>
            </w:pPr>
            <w:r>
              <w:t xml:space="preserve">’Aẓamat (عظمة)</w:t>
            </w:r>
            <w:r>
              <w:t xml:space="preserve">Grandeur</w:t>
            </w:r>
          </w:p>
        </w:tc>
        <w:tc>
          <w:tcPr/>
          <w:p>
            <w:pPr>
              <w:pStyle w:val="Compact"/>
              <w:jc w:val="left"/>
            </w:pPr>
            <w:r>
              <w:t xml:space="preserve">Expanding curiosity, the child begins to perceive vastness and order in the world. A sense of wonder and respect for greatness takes root.</w:t>
            </w:r>
          </w:p>
        </w:tc>
      </w:tr>
      <w:tr>
        <w:tc>
          <w:tcPr/>
          <w:p>
            <w:pPr>
              <w:pStyle w:val="Compact"/>
              <w:jc w:val="left"/>
            </w:pPr>
            <w:r>
              <w:t xml:space="preserve">4 to 5</w:t>
            </w:r>
          </w:p>
        </w:tc>
        <w:tc>
          <w:tcPr/>
          <w:p>
            <w:pPr>
              <w:pStyle w:val="Compact"/>
              <w:jc w:val="left"/>
            </w:pPr>
            <w:r>
              <w:t xml:space="preserve">Núr (نور)</w:t>
            </w:r>
            <w:r>
              <w:t xml:space="preserve">Light</w:t>
            </w:r>
          </w:p>
        </w:tc>
        <w:tc>
          <w:tcPr/>
          <w:p>
            <w:pPr>
              <w:pStyle w:val="Compact"/>
              <w:jc w:val="left"/>
            </w:pPr>
            <w:r>
              <w:t xml:space="preserve">Awareness sharpens as understanding grows. The child names, identifies, and learns through light, discovering meaning and the joy of illumination and learning.</w:t>
            </w:r>
          </w:p>
        </w:tc>
      </w:tr>
      <w:tr>
        <w:tc>
          <w:tcPr/>
          <w:p>
            <w:pPr>
              <w:pStyle w:val="Compact"/>
              <w:jc w:val="left"/>
            </w:pPr>
            <w:r>
              <w:t xml:space="preserve">5 to 6</w:t>
            </w:r>
          </w:p>
        </w:tc>
        <w:tc>
          <w:tcPr/>
          <w:p>
            <w:pPr>
              <w:pStyle w:val="Compact"/>
              <w:jc w:val="left"/>
            </w:pPr>
            <w:r>
              <w:t xml:space="preserve">Raḥmat (رحمة)</w:t>
            </w:r>
            <w:r>
              <w:t xml:space="preserve">Mercy</w:t>
            </w:r>
          </w:p>
        </w:tc>
        <w:tc>
          <w:tcPr/>
          <w:p>
            <w:pPr>
              <w:pStyle w:val="Compact"/>
              <w:jc w:val="left"/>
            </w:pPr>
            <w:r>
              <w:t xml:space="preserve">Compassion awakens as the child begins to care for others. Empathy, tenderness, and forgiveness become part of emotional life and social connection.</w:t>
            </w:r>
          </w:p>
        </w:tc>
      </w:tr>
      <w:tr>
        <w:tc>
          <w:tcPr/>
          <w:p>
            <w:pPr>
              <w:pStyle w:val="Compact"/>
              <w:jc w:val="left"/>
            </w:pPr>
            <w:r>
              <w:t xml:space="preserve">6 to 7</w:t>
            </w:r>
          </w:p>
        </w:tc>
        <w:tc>
          <w:tcPr/>
          <w:p>
            <w:pPr>
              <w:pStyle w:val="Compact"/>
              <w:jc w:val="left"/>
            </w:pPr>
            <w:r>
              <w:t xml:space="preserve">Kalimát (كلمات)</w:t>
            </w:r>
            <w:r>
              <w:t xml:space="preserve">Words</w:t>
            </w:r>
          </w:p>
        </w:tc>
        <w:tc>
          <w:tcPr/>
          <w:p>
            <w:pPr>
              <w:pStyle w:val="Compact"/>
              <w:jc w:val="left"/>
            </w:pPr>
            <w:r>
              <w:t xml:space="preserve">Speech and comprehension deepen. The child learns the creative power of words, recognizing truth, honesty, and communication as spiritual acts.</w:t>
            </w:r>
          </w:p>
        </w:tc>
      </w:tr>
      <w:tr>
        <w:tc>
          <w:tcPr/>
          <w:p>
            <w:pPr>
              <w:pStyle w:val="Compact"/>
              <w:jc w:val="left"/>
            </w:pPr>
            <w:r>
              <w:t xml:space="preserve">7 to 8</w:t>
            </w:r>
          </w:p>
        </w:tc>
        <w:tc>
          <w:tcPr/>
          <w:p>
            <w:pPr>
              <w:pStyle w:val="Compact"/>
              <w:jc w:val="left"/>
            </w:pPr>
            <w:r>
              <w:t xml:space="preserve">Kamál (كمال)</w:t>
            </w:r>
            <w:r>
              <w:t xml:space="preserve">Perfection</w:t>
            </w:r>
          </w:p>
        </w:tc>
        <w:tc>
          <w:tcPr/>
          <w:p>
            <w:pPr>
              <w:pStyle w:val="Compact"/>
              <w:jc w:val="left"/>
            </w:pPr>
            <w:r>
              <w:t xml:space="preserve">Awareness of right and wrong matures. The child seeks to act correctly, striving toward goodness and self improvement with growing self discipline and sincerity.</w:t>
            </w:r>
          </w:p>
        </w:tc>
      </w:tr>
      <w:tr>
        <w:tc>
          <w:tcPr/>
          <w:p>
            <w:pPr>
              <w:pStyle w:val="Compact"/>
              <w:jc w:val="left"/>
            </w:pPr>
            <w:r>
              <w:t xml:space="preserve">8 to 9</w:t>
            </w:r>
          </w:p>
        </w:tc>
        <w:tc>
          <w:tcPr/>
          <w:p>
            <w:pPr>
              <w:pStyle w:val="Compact"/>
              <w:jc w:val="left"/>
            </w:pPr>
            <w:r>
              <w:t xml:space="preserve">Asmá’ (أسماء)</w:t>
            </w:r>
            <w:r>
              <w:t xml:space="preserve">Names</w:t>
            </w:r>
          </w:p>
        </w:tc>
        <w:tc>
          <w:tcPr/>
          <w:p>
            <w:pPr>
              <w:pStyle w:val="Compact"/>
              <w:jc w:val="left"/>
            </w:pPr>
            <w:r>
              <w:t xml:space="preserve">The child discovers identity and individuality, learning that every person reflects divine attributes. Personal dignity and respect for others emerge.</w:t>
            </w:r>
          </w:p>
        </w:tc>
      </w:tr>
      <w:tr>
        <w:tc>
          <w:tcPr/>
          <w:p>
            <w:pPr>
              <w:pStyle w:val="Compact"/>
              <w:jc w:val="left"/>
            </w:pPr>
            <w:r>
              <w:t xml:space="preserve">9 to 10</w:t>
            </w:r>
          </w:p>
        </w:tc>
        <w:tc>
          <w:tcPr/>
          <w:p>
            <w:pPr>
              <w:pStyle w:val="Compact"/>
              <w:jc w:val="left"/>
            </w:pPr>
            <w:r>
              <w:t xml:space="preserve">’Izzat (عزة)</w:t>
            </w:r>
            <w:r>
              <w:t xml:space="preserve">Might</w:t>
            </w:r>
          </w:p>
        </w:tc>
        <w:tc>
          <w:tcPr/>
          <w:p>
            <w:pPr>
              <w:pStyle w:val="Compact"/>
              <w:jc w:val="left"/>
            </w:pPr>
            <w:r>
              <w:t xml:space="preserve">Confidence and independence develop. The child feels inner strength and begins to test limits, learning that true might is tempered by humility.</w:t>
            </w:r>
          </w:p>
        </w:tc>
      </w:tr>
      <w:tr>
        <w:tc>
          <w:tcPr/>
          <w:p>
            <w:pPr>
              <w:pStyle w:val="Compact"/>
              <w:jc w:val="left"/>
            </w:pPr>
            <w:r>
              <w:t xml:space="preserve">10 to 11</w:t>
            </w:r>
          </w:p>
        </w:tc>
        <w:tc>
          <w:tcPr/>
          <w:p>
            <w:pPr>
              <w:pStyle w:val="Compact"/>
              <w:jc w:val="left"/>
            </w:pPr>
            <w:r>
              <w:t xml:space="preserve">Mashíyyat (مشية)</w:t>
            </w:r>
            <w:r>
              <w:t xml:space="preserve">Will</w:t>
            </w:r>
          </w:p>
        </w:tc>
        <w:tc>
          <w:tcPr/>
          <w:p>
            <w:pPr>
              <w:pStyle w:val="Compact"/>
              <w:jc w:val="left"/>
            </w:pPr>
            <w:r>
              <w:t xml:space="preserve">The sense of choice awakens. The young mind begins to understand purpose, intention, and the difference between impulse and deliberate action.</w:t>
            </w:r>
          </w:p>
        </w:tc>
      </w:tr>
      <w:tr>
        <w:tc>
          <w:tcPr/>
          <w:p>
            <w:pPr>
              <w:pStyle w:val="Compact"/>
              <w:jc w:val="left"/>
            </w:pPr>
            <w:r>
              <w:t xml:space="preserve">11 to 12</w:t>
            </w:r>
          </w:p>
        </w:tc>
        <w:tc>
          <w:tcPr/>
          <w:p>
            <w:pPr>
              <w:pStyle w:val="Compact"/>
              <w:jc w:val="left"/>
            </w:pPr>
            <w:r>
              <w:t xml:space="preserve">’Ilm (علم)</w:t>
            </w:r>
            <w:r>
              <w:t xml:space="preserve">Knowledge</w:t>
            </w:r>
          </w:p>
        </w:tc>
        <w:tc>
          <w:tcPr/>
          <w:p>
            <w:pPr>
              <w:pStyle w:val="Compact"/>
              <w:jc w:val="left"/>
            </w:pPr>
            <w:r>
              <w:t xml:space="preserve">Curiosity matures into genuine inquiry. The child learns to question, reason, and seek knowledge with reverence, marking the dawn of moral reflection.</w:t>
            </w:r>
          </w:p>
        </w:tc>
      </w:tr>
      <w:tr>
        <w:tc>
          <w:tcPr/>
          <w:p>
            <w:pPr>
              <w:pStyle w:val="Compact"/>
              <w:jc w:val="left"/>
            </w:pPr>
            <w:r>
              <w:t xml:space="preserve">12 to 13</w:t>
            </w:r>
          </w:p>
        </w:tc>
        <w:tc>
          <w:tcPr/>
          <w:p>
            <w:pPr>
              <w:pStyle w:val="Compact"/>
              <w:jc w:val="left"/>
            </w:pPr>
            <w:r>
              <w:t xml:space="preserve">Qudrat (قدرت)</w:t>
            </w:r>
            <w:r>
              <w:t xml:space="preserve">Power</w:t>
            </w:r>
          </w:p>
        </w:tc>
        <w:tc>
          <w:tcPr/>
          <w:p>
            <w:pPr>
              <w:pStyle w:val="Compact"/>
              <w:jc w:val="left"/>
            </w:pPr>
            <w:r>
              <w:t xml:space="preserve">Self confidence and courage increase. The youth begins to act with conviction, recognizing personal strength as a trust to be used with justice.</w:t>
            </w:r>
          </w:p>
        </w:tc>
      </w:tr>
      <w:tr>
        <w:tc>
          <w:tcPr/>
          <w:p>
            <w:pPr>
              <w:pStyle w:val="Compact"/>
              <w:jc w:val="left"/>
            </w:pPr>
            <w:r>
              <w:t xml:space="preserve">13 to 14</w:t>
            </w:r>
          </w:p>
        </w:tc>
        <w:tc>
          <w:tcPr/>
          <w:p>
            <w:pPr>
              <w:pStyle w:val="Compact"/>
              <w:jc w:val="left"/>
            </w:pPr>
            <w:r>
              <w:t xml:space="preserve">Qawl (قول)</w:t>
            </w:r>
            <w:r>
              <w:t xml:space="preserve">Speech</w:t>
            </w:r>
          </w:p>
        </w:tc>
        <w:tc>
          <w:tcPr/>
          <w:p>
            <w:pPr>
              <w:pStyle w:val="Compact"/>
              <w:jc w:val="left"/>
            </w:pPr>
            <w:r>
              <w:t xml:space="preserve">Expression becomes more purposeful. The ability to articulate beliefs and values emerges, along with awareness of how speech shapes truth and unity.</w:t>
            </w:r>
          </w:p>
        </w:tc>
      </w:tr>
      <w:tr>
        <w:tc>
          <w:tcPr/>
          <w:p>
            <w:pPr>
              <w:pStyle w:val="Compact"/>
              <w:jc w:val="left"/>
            </w:pPr>
            <w:r>
              <w:t xml:space="preserve">14 to 15</w:t>
            </w:r>
          </w:p>
        </w:tc>
        <w:tc>
          <w:tcPr/>
          <w:p>
            <w:pPr>
              <w:pStyle w:val="Compact"/>
              <w:jc w:val="left"/>
            </w:pPr>
            <w:r>
              <w:t xml:space="preserve">Masá’il (مسائل)</w:t>
            </w:r>
            <w:r>
              <w:t xml:space="preserve">Questions</w:t>
            </w:r>
          </w:p>
        </w:tc>
        <w:tc>
          <w:tcPr/>
          <w:p>
            <w:pPr>
              <w:pStyle w:val="Compact"/>
              <w:jc w:val="left"/>
            </w:pPr>
            <w:r>
              <w:t xml:space="preserve">The moral intellect awakens fully. The youth questions deeply, seeking meaning and coherence, preparing for responsibility and the trust of maturity.</w:t>
            </w:r>
          </w:p>
        </w:tc>
      </w:tr>
      <w:tr>
        <w:tc>
          <w:tcPr/>
          <w:p>
            <w:pPr>
              <w:pStyle w:val="Compact"/>
              <w:jc w:val="left"/>
            </w:pPr>
            <w:r>
              <w:t xml:space="preserve">15 to 16</w:t>
            </w:r>
          </w:p>
        </w:tc>
        <w:tc>
          <w:tcPr/>
          <w:p>
            <w:pPr>
              <w:pStyle w:val="Compact"/>
              <w:jc w:val="left"/>
            </w:pPr>
            <w:r>
              <w:t xml:space="preserve">Sharaf (شرف)</w:t>
            </w:r>
            <w:r>
              <w:t xml:space="preserve">Honor</w:t>
            </w:r>
          </w:p>
        </w:tc>
        <w:tc>
          <w:tcPr/>
          <w:p>
            <w:pPr>
              <w:pStyle w:val="Compact"/>
              <w:jc w:val="left"/>
            </w:pPr>
            <w:r>
              <w:t xml:space="preserve">A sense of duty and moral honor arises. The young person strives for integrity, respect, and steadfastness in upholding divine and personal principles.</w:t>
            </w:r>
          </w:p>
        </w:tc>
      </w:tr>
      <w:tr>
        <w:tc>
          <w:tcPr/>
          <w:p>
            <w:pPr>
              <w:pStyle w:val="Compact"/>
              <w:jc w:val="left"/>
            </w:pPr>
            <w:r>
              <w:t xml:space="preserve">16 to 17</w:t>
            </w:r>
          </w:p>
        </w:tc>
        <w:tc>
          <w:tcPr/>
          <w:p>
            <w:pPr>
              <w:pStyle w:val="Compact"/>
              <w:jc w:val="left"/>
            </w:pPr>
            <w:r>
              <w:t xml:space="preserve">Sultán (سلطان)</w:t>
            </w:r>
            <w:r>
              <w:t xml:space="preserve">Sovereignty</w:t>
            </w:r>
          </w:p>
        </w:tc>
        <w:tc>
          <w:tcPr/>
          <w:p>
            <w:pPr>
              <w:pStyle w:val="Compact"/>
              <w:jc w:val="left"/>
            </w:pPr>
            <w:r>
              <w:t xml:space="preserve">Personal sovereignty and leadership appear. The youth learns to govern the self, balancing independence with humility and care for others.</w:t>
            </w:r>
          </w:p>
        </w:tc>
      </w:tr>
      <w:tr>
        <w:tc>
          <w:tcPr/>
          <w:p>
            <w:pPr>
              <w:pStyle w:val="Compact"/>
              <w:jc w:val="left"/>
            </w:pPr>
            <w:r>
              <w:t xml:space="preserve">17 to 18</w:t>
            </w:r>
          </w:p>
        </w:tc>
        <w:tc>
          <w:tcPr/>
          <w:p>
            <w:pPr>
              <w:pStyle w:val="Compact"/>
              <w:jc w:val="left"/>
            </w:pPr>
            <w:r>
              <w:t xml:space="preserve">Mulk (ملك)</w:t>
            </w:r>
            <w:r>
              <w:t xml:space="preserve">Dominion</w:t>
            </w:r>
          </w:p>
        </w:tc>
        <w:tc>
          <w:tcPr/>
          <w:p>
            <w:pPr>
              <w:pStyle w:val="Compact"/>
              <w:jc w:val="left"/>
            </w:pPr>
            <w:r>
              <w:t xml:space="preserve">Wisdom consolidates as all capacities harmonize. The person begins to act responsibly within community life, exercising stewardship and social trust.</w:t>
            </w:r>
          </w:p>
        </w:tc>
      </w:tr>
      <w:tr>
        <w:tc>
          <w:tcPr/>
          <w:p>
            <w:pPr>
              <w:pStyle w:val="Compact"/>
              <w:jc w:val="left"/>
            </w:pPr>
            <w:r>
              <w:t xml:space="preserve">18 to 19</w:t>
            </w:r>
          </w:p>
        </w:tc>
        <w:tc>
          <w:tcPr/>
          <w:p>
            <w:pPr>
              <w:pStyle w:val="Compact"/>
              <w:jc w:val="left"/>
            </w:pPr>
            <w:r>
              <w:t xml:space="preserve">‘</w:t>
            </w:r>
            <w:r>
              <w:t xml:space="preserve">Alá</w:t>
            </w:r>
            <w:r>
              <w:t xml:space="preserve">’</w:t>
            </w:r>
            <w:r>
              <w:t xml:space="preserve"> </w:t>
            </w:r>
            <w:r>
              <w:t xml:space="preserve">(علاء)</w:t>
            </w:r>
            <w:r>
              <w:t xml:space="preserve">Loftiness</w:t>
            </w:r>
          </w:p>
        </w:tc>
        <w:tc>
          <w:tcPr/>
          <w:p>
            <w:pPr>
              <w:pStyle w:val="Compact"/>
              <w:jc w:val="left"/>
            </w:pPr>
            <w:r>
              <w:t xml:space="preserve">Spiritual adulthood is attained. The individual embodies unity, love, and service, living as a helper of others and a conscious trustee of divine trust.</w:t>
            </w:r>
          </w:p>
        </w:tc>
      </w:tr>
    </w:tbl>
    <w:bookmarkStart w:id="1052" w:name="overview"/>
    <w:p>
      <w:pPr>
        <w:pStyle w:val="Heading3"/>
      </w:pPr>
      <w:r>
        <w:t xml:space="preserve">Overview</w:t>
      </w:r>
    </w:p>
    <w:p>
      <w:pPr>
        <w:numPr>
          <w:ilvl w:val="0"/>
          <w:numId w:val="1064"/>
        </w:numPr>
        <w:pStyle w:val="Compact"/>
      </w:pPr>
      <w:r>
        <w:t xml:space="preserve">Ages 0 to 11: Formation of awareness and empathy, the world of Witnessing.</w:t>
      </w:r>
    </w:p>
    <w:p>
      <w:pPr>
        <w:numPr>
          <w:ilvl w:val="0"/>
          <w:numId w:val="1064"/>
        </w:numPr>
        <w:pStyle w:val="Compact"/>
      </w:pPr>
      <w:r>
        <w:t xml:space="preserve">Ages 11 to 15: Moral and intellectual awakening, the world of Trusteeship.</w:t>
      </w:r>
    </w:p>
    <w:p>
      <w:pPr>
        <w:numPr>
          <w:ilvl w:val="0"/>
          <w:numId w:val="1064"/>
        </w:numPr>
        <w:pStyle w:val="Compact"/>
      </w:pPr>
      <w:r>
        <w:t xml:space="preserve">Ages 15 to 19: Social and spiritual integration, the world of Helping and Unity.</w:t>
      </w:r>
    </w:p>
    <w:p>
      <w:r>
        <w:br w:type="page"/>
      </w:r>
    </w:p>
    <w:bookmarkEnd w:id="1052"/>
    <w:bookmarkEnd w:id="1053"/>
    <w:bookmarkEnd w:id="1054"/>
    <w:bookmarkStart w:id="1056" w:name="appendix-h-trusteeship-levels-and-roles"/>
    <w:p>
      <w:pPr>
        <w:pStyle w:val="Heading1"/>
      </w:pPr>
      <w:r>
        <w:t xml:space="preserve">Appendix H: Trusteeship Levels and Roles</w:t>
      </w:r>
    </w:p>
    <w:p>
      <w:pPr>
        <w:pStyle w:val="FirstParagraph"/>
      </w:pPr>
      <w:r>
        <w:t xml:space="preserve">The levels in this model move from the formation of personal integrity to the ordering of collective life. At each level, the pattern of witnessing, trusteeship, and helping shows how perception, responsibility, and action must remain united.</w:t>
      </w:r>
    </w:p>
    <w:bookmarkStart w:id="1055" w:name="table-trusteeship-levels-and-roles"/>
    <w:p>
      <w:pPr>
        <w:pStyle w:val="Heading2"/>
      </w:pPr>
      <w:r>
        <w:t xml:space="preserve">Table: Trusteeship Levels and Roles</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t xml:space="preserve">Level of Authority</w:t>
            </w:r>
          </w:p>
        </w:tc>
        <w:tc>
          <w:tcPr/>
          <w:p>
            <w:pPr>
              <w:pStyle w:val="Compact"/>
              <w:jc w:val="left"/>
            </w:pPr>
            <w:r>
              <w:t xml:space="preserve">Objective</w:t>
            </w:r>
          </w:p>
        </w:tc>
        <w:tc>
          <w:tcPr/>
          <w:p>
            <w:pPr>
              <w:pStyle w:val="Compact"/>
              <w:jc w:val="left"/>
            </w:pPr>
            <w:r>
              <w:t xml:space="preserve">Functional Roles</w:t>
            </w:r>
          </w:p>
        </w:tc>
        <w:tc>
          <w:tcPr/>
          <w:p>
            <w:pPr>
              <w:pStyle w:val="Compact"/>
              <w:jc w:val="left"/>
            </w:pPr>
            <w:r>
              <w:t xml:space="preserve">Witness (The Observation)</w:t>
            </w:r>
          </w:p>
        </w:tc>
        <w:tc>
          <w:tcPr/>
          <w:p>
            <w:pPr>
              <w:pStyle w:val="Compact"/>
              <w:jc w:val="left"/>
            </w:pPr>
            <w:r>
              <w:t xml:space="preserve">Trustee (The Responsibility)</w:t>
            </w:r>
          </w:p>
        </w:tc>
        <w:tc>
          <w:tcPr/>
          <w:p>
            <w:pPr>
              <w:pStyle w:val="Compact"/>
              <w:jc w:val="left"/>
            </w:pPr>
            <w:r>
              <w:t xml:space="preserve">Helper (The Action)</w:t>
            </w:r>
          </w:p>
        </w:tc>
      </w:tr>
      <w:tr>
        <w:tc>
          <w:tcPr/>
          <w:p>
            <w:pPr>
              <w:pStyle w:val="Compact"/>
              <w:jc w:val="left"/>
            </w:pPr>
            <w:r>
              <w:t xml:space="preserve">Level 1: Inspiration</w:t>
            </w:r>
          </w:p>
        </w:tc>
        <w:tc>
          <w:tcPr/>
          <w:p>
            <w:pPr>
              <w:pStyle w:val="Compact"/>
              <w:jc w:val="left"/>
            </w:pPr>
            <w:r>
              <w:t xml:space="preserve">Individual Integrity and Truth</w:t>
            </w:r>
          </w:p>
        </w:tc>
        <w:tc>
          <w:tcPr/>
          <w:p>
            <w:pPr>
              <w:pStyle w:val="Compact"/>
              <w:jc w:val="left"/>
            </w:pPr>
            <w:r>
              <w:t xml:space="preserve">Artist, Scientist, Friend</w:t>
            </w:r>
          </w:p>
        </w:tc>
        <w:tc>
          <w:tcPr/>
          <w:p>
            <w:pPr>
              <w:pStyle w:val="Compact"/>
              <w:jc w:val="left"/>
            </w:pPr>
            <w:r>
              <w:t xml:space="preserve">Identifying the divine names, virtues, and laws of reality</w:t>
            </w:r>
          </w:p>
        </w:tc>
        <w:tc>
          <w:tcPr/>
          <w:p>
            <w:pPr>
              <w:pStyle w:val="Compact"/>
              <w:jc w:val="left"/>
            </w:pPr>
            <w:r>
              <w:t xml:space="preserve">Guarding the purity of truth, creativity, and personal loyalty</w:t>
            </w:r>
          </w:p>
        </w:tc>
        <w:tc>
          <w:tcPr/>
          <w:p>
            <w:pPr>
              <w:pStyle w:val="Compact"/>
              <w:jc w:val="left"/>
            </w:pPr>
            <w:r>
              <w:t xml:space="preserve">Inspiring radiance and independent investigation in others</w:t>
            </w:r>
          </w:p>
        </w:tc>
      </w:tr>
      <w:tr>
        <w:tc>
          <w:tcPr/>
          <w:p>
            <w:pPr>
              <w:pStyle w:val="Compact"/>
              <w:jc w:val="left"/>
            </w:pPr>
            <w:r>
              <w:t xml:space="preserve">Level 2: Education</w:t>
            </w:r>
          </w:p>
        </w:tc>
        <w:tc>
          <w:tcPr/>
          <w:p>
            <w:pPr>
              <w:pStyle w:val="Compact"/>
              <w:jc w:val="left"/>
            </w:pPr>
            <w:r>
              <w:t xml:space="preserve">Moral and Spiritual Upbringing</w:t>
            </w:r>
          </w:p>
        </w:tc>
        <w:tc>
          <w:tcPr/>
          <w:p>
            <w:pPr>
              <w:pStyle w:val="Compact"/>
              <w:jc w:val="left"/>
            </w:pPr>
            <w:r>
              <w:t xml:space="preserve">Parent, Teacher, Scholar, Religious Leader</w:t>
            </w:r>
          </w:p>
        </w:tc>
        <w:tc>
          <w:tcPr/>
          <w:p>
            <w:pPr>
              <w:pStyle w:val="Compact"/>
              <w:jc w:val="left"/>
            </w:pPr>
            <w:r>
              <w:t xml:space="preserve">Noticing the specific milk, fruit, or meat required for a soul’s growth</w:t>
            </w:r>
          </w:p>
        </w:tc>
        <w:tc>
          <w:tcPr/>
          <w:p>
            <w:pPr>
              <w:pStyle w:val="Compact"/>
              <w:jc w:val="left"/>
            </w:pPr>
            <w:r>
              <w:t xml:space="preserve">Acting as a spiritual physician for those in one’s care</w:t>
            </w:r>
          </w:p>
        </w:tc>
        <w:tc>
          <w:tcPr/>
          <w:p>
            <w:pPr>
              <w:pStyle w:val="Compact"/>
              <w:jc w:val="left"/>
            </w:pPr>
            <w:r>
              <w:t xml:space="preserve">Healing trauma and nurturing God consciousness through wisdom</w:t>
            </w:r>
          </w:p>
        </w:tc>
      </w:tr>
      <w:tr>
        <w:tc>
          <w:tcPr/>
          <w:p>
            <w:pPr>
              <w:pStyle w:val="Compact"/>
              <w:jc w:val="left"/>
            </w:pPr>
            <w:r>
              <w:t xml:space="preserve">Level 3: Honor</w:t>
            </w:r>
          </w:p>
        </w:tc>
        <w:tc>
          <w:tcPr/>
          <w:p>
            <w:pPr>
              <w:pStyle w:val="Compact"/>
              <w:jc w:val="left"/>
            </w:pPr>
            <w:r>
              <w:t xml:space="preserve">Human Rights and Social Identity</w:t>
            </w:r>
          </w:p>
        </w:tc>
        <w:tc>
          <w:tcPr/>
          <w:p>
            <w:pPr>
              <w:pStyle w:val="Compact"/>
              <w:jc w:val="left"/>
            </w:pPr>
            <w:r>
              <w:t xml:space="preserve">Social Work Organizer, NGO Leader, Lawyer</w:t>
            </w:r>
          </w:p>
        </w:tc>
        <w:tc>
          <w:tcPr/>
          <w:p>
            <w:pPr>
              <w:pStyle w:val="Compact"/>
              <w:jc w:val="left"/>
            </w:pPr>
            <w:r>
              <w:t xml:space="preserve">Recognizing where the right to identity or honor is being oppressed</w:t>
            </w:r>
          </w:p>
        </w:tc>
        <w:tc>
          <w:tcPr/>
          <w:p>
            <w:pPr>
              <w:pStyle w:val="Compact"/>
              <w:jc w:val="left"/>
            </w:pPr>
            <w:r>
              <w:t xml:space="preserve">Protecting the sacred boundaries of the soul and the property of others</w:t>
            </w:r>
          </w:p>
        </w:tc>
        <w:tc>
          <w:tcPr/>
          <w:p>
            <w:pPr>
              <w:pStyle w:val="Compact"/>
              <w:jc w:val="left"/>
            </w:pPr>
            <w:r>
              <w:t xml:space="preserve">Intervening against slander and advocating for the vulnerable</w:t>
            </w:r>
          </w:p>
        </w:tc>
      </w:tr>
      <w:tr>
        <w:tc>
          <w:tcPr/>
          <w:p>
            <w:pPr>
              <w:pStyle w:val="Compact"/>
              <w:jc w:val="left"/>
            </w:pPr>
            <w:r>
              <w:t xml:space="preserve">Level 4: Welfare</w:t>
            </w:r>
          </w:p>
        </w:tc>
        <w:tc>
          <w:tcPr/>
          <w:p>
            <w:pPr>
              <w:pStyle w:val="Compact"/>
              <w:jc w:val="left"/>
            </w:pPr>
            <w:r>
              <w:t xml:space="preserve">Provision and Community Support</w:t>
            </w:r>
          </w:p>
        </w:tc>
        <w:tc>
          <w:tcPr/>
          <w:p>
            <w:pPr>
              <w:pStyle w:val="Compact"/>
              <w:jc w:val="left"/>
            </w:pPr>
            <w:r>
              <w:t xml:space="preserve">Business Owner or Manager, Wealth Manager</w:t>
            </w:r>
          </w:p>
        </w:tc>
        <w:tc>
          <w:tcPr/>
          <w:p>
            <w:pPr>
              <w:pStyle w:val="Compact"/>
              <w:jc w:val="left"/>
            </w:pPr>
            <w:r>
              <w:t xml:space="preserve">Viewing wealth and resources not as personal status but as public trust</w:t>
            </w:r>
          </w:p>
        </w:tc>
        <w:tc>
          <w:tcPr/>
          <w:p>
            <w:pPr>
              <w:pStyle w:val="Compact"/>
              <w:jc w:val="left"/>
            </w:pPr>
            <w:r>
              <w:t xml:space="preserve">Managing endowments and capital for the salvation of nations</w:t>
            </w:r>
          </w:p>
        </w:tc>
        <w:tc>
          <w:tcPr/>
          <w:p>
            <w:pPr>
              <w:pStyle w:val="Compact"/>
              <w:jc w:val="left"/>
            </w:pPr>
            <w:r>
              <w:t xml:space="preserve">Generating ethical prosperity and funding elevated places of service</w:t>
            </w:r>
          </w:p>
        </w:tc>
      </w:tr>
      <w:tr>
        <w:tc>
          <w:tcPr/>
          <w:p>
            <w:pPr>
              <w:pStyle w:val="Compact"/>
              <w:jc w:val="left"/>
            </w:pPr>
            <w:r>
              <w:t xml:space="preserve">Level 5: Governance</w:t>
            </w:r>
          </w:p>
        </w:tc>
        <w:tc>
          <w:tcPr/>
          <w:p>
            <w:pPr>
              <w:pStyle w:val="Compact"/>
              <w:jc w:val="left"/>
            </w:pPr>
            <w:r>
              <w:t xml:space="preserve">Global and Local Peace</w:t>
            </w:r>
          </w:p>
        </w:tc>
        <w:tc>
          <w:tcPr/>
          <w:p>
            <w:pPr>
              <w:pStyle w:val="Compact"/>
              <w:jc w:val="left"/>
            </w:pPr>
            <w:r>
              <w:t xml:space="preserve">Politician, Legislator, Judge, Monarch, Diplomat, General</w:t>
            </w:r>
          </w:p>
        </w:tc>
        <w:tc>
          <w:tcPr/>
          <w:p>
            <w:pPr>
              <w:pStyle w:val="Compact"/>
              <w:jc w:val="left"/>
            </w:pPr>
            <w:r>
              <w:t xml:space="preserve">Discerning common affairs and the collective security of the people</w:t>
            </w:r>
          </w:p>
        </w:tc>
        <w:tc>
          <w:tcPr/>
          <w:p>
            <w:pPr>
              <w:pStyle w:val="Compact"/>
              <w:jc w:val="left"/>
            </w:pPr>
            <w:r>
              <w:t xml:space="preserve">Exercising authority only through consent and consultation</w:t>
            </w:r>
          </w:p>
        </w:tc>
        <w:tc>
          <w:tcPr/>
          <w:p>
            <w:pPr>
              <w:pStyle w:val="Compact"/>
              <w:jc w:val="left"/>
            </w:pPr>
            <w:r>
              <w:t xml:space="preserve">Establishing the Lesser Peace and protecting the rights of all</w:t>
            </w:r>
          </w:p>
        </w:tc>
      </w:tr>
    </w:tbl>
    <w:p>
      <w:r>
        <w:br w:type="page"/>
      </w:r>
    </w:p>
    <w:bookmarkEnd w:id="1055"/>
    <w:bookmarkEnd w:id="1056"/>
    <w:bookmarkStart w:id="1063" w:name="appendix-i-political-leaders-in-1873"/>
    <w:p>
      <w:pPr>
        <w:pStyle w:val="Heading1"/>
      </w:pPr>
      <w:r>
        <w:t xml:space="preserve">Appendix I: Political Leaders in 1873</w:t>
      </w:r>
    </w:p>
    <w:p>
      <w:pPr>
        <w:pStyle w:val="FirstParagraph"/>
      </w:pPr>
      <w:r>
        <w:t xml:space="preserve">The Kitáb-i-Aqdas was revealed by Bahá’u’lláh in 1873 during a period of profound political transformation across the world. Empires, monarchies, and newly independent republics coexisted in a rapidly changing global order, providing the historical context in which the laws and principles of the Kitáb-i-Aqdas were first addressed to humanity.</w:t>
      </w:r>
    </w:p>
    <w:bookmarkStart w:id="1059" w:name="table-politcal-leaders-of-the-americas"/>
    <w:p>
      <w:pPr>
        <w:pStyle w:val="Heading2"/>
      </w:pPr>
      <w:r>
        <w:t xml:space="preserve">Table: Politcal Leaders Of the Americas</w:t>
      </w:r>
    </w:p>
    <w:tbl>
      <w:tblPr>
        <w:tblStyle w:val="Table"/>
        <w:tblW w:type="pct" w:w="5000"/>
        <w:tblLook w:firstRow="1" w:lastRow="0" w:firstColumn="0" w:lastColumn="0" w:noHBand="0" w:noVBand="0" w:val="0020"/>
        <w:jc w:val="start"/>
        <w:tblLayout w:type="fixed"/>
      </w:tblPr>
      <w:tblGrid>
        <w:gridCol w:w="1584"/>
        <w:gridCol w:w="1584"/>
        <w:gridCol w:w="1584"/>
        <w:gridCol w:w="1584"/>
        <w:gridCol w:w="1584"/>
      </w:tblGrid>
      <w:tr>
        <w:trPr>
          <w:tblHeader w:val="true"/>
        </w:trPr>
        <w:tc>
          <w:tcPr/>
          <w:p>
            <w:pPr>
              <w:pStyle w:val="Compact"/>
              <w:jc w:val="left"/>
            </w:pPr>
            <w:r>
              <w:t xml:space="preserve">Nation / Power</w:t>
            </w:r>
          </w:p>
        </w:tc>
        <w:tc>
          <w:tcPr/>
          <w:p>
            <w:pPr>
              <w:pStyle w:val="Compact"/>
              <w:jc w:val="left"/>
            </w:pPr>
            <w:r>
              <w:t xml:space="preserve">Status (1873)</w:t>
            </w:r>
          </w:p>
        </w:tc>
        <w:tc>
          <w:tcPr/>
          <w:p>
            <w:pPr>
              <w:pStyle w:val="Compact"/>
              <w:jc w:val="left"/>
            </w:pPr>
            <w:r>
              <w:t xml:space="preserve">Independence Year</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United States</w:t>
            </w:r>
          </w:p>
        </w:tc>
        <w:tc>
          <w:tcPr/>
          <w:p>
            <w:pPr>
              <w:pStyle w:val="Compact"/>
              <w:jc w:val="left"/>
            </w:pPr>
            <w:r>
              <w:t xml:space="preserve">Independent</w:t>
            </w:r>
          </w:p>
        </w:tc>
        <w:tc>
          <w:tcPr/>
          <w:p>
            <w:pPr>
              <w:pStyle w:val="Compact"/>
              <w:jc w:val="left"/>
            </w:pPr>
            <w:r>
              <w:t xml:space="preserve">1776</w:t>
            </w:r>
          </w:p>
        </w:tc>
        <w:tc>
          <w:tcPr/>
          <w:p>
            <w:pPr>
              <w:pStyle w:val="Compact"/>
              <w:jc w:val="left"/>
            </w:pPr>
            <w:r>
              <w:t xml:space="preserve">Ulysses S. Grant</w:t>
            </w:r>
          </w:p>
        </w:tc>
        <w:tc>
          <w:tcPr/>
          <w:p>
            <w:pPr>
              <w:pStyle w:val="Compact"/>
              <w:jc w:val="left"/>
            </w:pPr>
            <w:r>
              <w:t xml:space="preserve">President</w:t>
            </w:r>
          </w:p>
        </w:tc>
      </w:tr>
      <w:tr>
        <w:tc>
          <w:tcPr/>
          <w:p>
            <w:pPr>
              <w:pStyle w:val="Compact"/>
              <w:jc w:val="left"/>
            </w:pPr>
            <w:r>
              <w:t xml:space="preserve">Haiti</w:t>
            </w:r>
          </w:p>
        </w:tc>
        <w:tc>
          <w:tcPr/>
          <w:p>
            <w:pPr>
              <w:pStyle w:val="Compact"/>
              <w:jc w:val="left"/>
            </w:pPr>
            <w:r>
              <w:t xml:space="preserve">Independent</w:t>
            </w:r>
          </w:p>
        </w:tc>
        <w:tc>
          <w:tcPr/>
          <w:p>
            <w:pPr>
              <w:pStyle w:val="Compact"/>
              <w:jc w:val="left"/>
            </w:pPr>
            <w:r>
              <w:t xml:space="preserve">1804</w:t>
            </w:r>
          </w:p>
        </w:tc>
        <w:tc>
          <w:tcPr/>
          <w:p>
            <w:pPr>
              <w:pStyle w:val="Compact"/>
              <w:jc w:val="left"/>
            </w:pPr>
            <w:r>
              <w:t xml:space="preserve">Michel Domingue</w:t>
            </w:r>
          </w:p>
        </w:tc>
        <w:tc>
          <w:tcPr/>
          <w:p>
            <w:pPr>
              <w:pStyle w:val="Compact"/>
              <w:jc w:val="left"/>
            </w:pPr>
            <w:r>
              <w:t xml:space="preserve">President</w:t>
            </w:r>
          </w:p>
        </w:tc>
      </w:tr>
      <w:tr>
        <w:tc>
          <w:tcPr/>
          <w:p>
            <w:pPr>
              <w:pStyle w:val="Compact"/>
              <w:jc w:val="left"/>
            </w:pPr>
            <w:r>
              <w:t xml:space="preserve">Paraguay</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Salvador Jovellanos</w:t>
            </w:r>
          </w:p>
        </w:tc>
        <w:tc>
          <w:tcPr/>
          <w:p>
            <w:pPr>
              <w:pStyle w:val="Compact"/>
              <w:jc w:val="left"/>
            </w:pPr>
            <w:r>
              <w:t xml:space="preserve">President</w:t>
            </w:r>
          </w:p>
        </w:tc>
      </w:tr>
      <w:tr>
        <w:tc>
          <w:tcPr/>
          <w:p>
            <w:pPr>
              <w:pStyle w:val="Compact"/>
              <w:jc w:val="left"/>
            </w:pPr>
            <w:r>
              <w:t xml:space="preserve">Venezuela</w:t>
            </w:r>
          </w:p>
        </w:tc>
        <w:tc>
          <w:tcPr/>
          <w:p>
            <w:pPr>
              <w:pStyle w:val="Compact"/>
              <w:jc w:val="left"/>
            </w:pPr>
            <w:r>
              <w:t xml:space="preserve">Independent</w:t>
            </w:r>
          </w:p>
        </w:tc>
        <w:tc>
          <w:tcPr/>
          <w:p>
            <w:pPr>
              <w:pStyle w:val="Compact"/>
              <w:jc w:val="left"/>
            </w:pPr>
            <w:r>
              <w:t xml:space="preserve">1811</w:t>
            </w:r>
          </w:p>
        </w:tc>
        <w:tc>
          <w:tcPr/>
          <w:p>
            <w:pPr>
              <w:pStyle w:val="Compact"/>
              <w:jc w:val="left"/>
            </w:pPr>
            <w:r>
              <w:t xml:space="preserve">Antonio Guzmán Blanco</w:t>
            </w:r>
          </w:p>
        </w:tc>
        <w:tc>
          <w:tcPr/>
          <w:p>
            <w:pPr>
              <w:pStyle w:val="Compact"/>
              <w:jc w:val="left"/>
            </w:pPr>
            <w:r>
              <w:t xml:space="preserve">President</w:t>
            </w:r>
          </w:p>
        </w:tc>
      </w:tr>
      <w:tr>
        <w:tc>
          <w:tcPr/>
          <w:p>
            <w:pPr>
              <w:pStyle w:val="Compact"/>
              <w:jc w:val="left"/>
            </w:pPr>
            <w:r>
              <w:t xml:space="preserve">Argentina</w:t>
            </w:r>
          </w:p>
        </w:tc>
        <w:tc>
          <w:tcPr/>
          <w:p>
            <w:pPr>
              <w:pStyle w:val="Compact"/>
              <w:jc w:val="left"/>
            </w:pPr>
            <w:r>
              <w:t xml:space="preserve">Independent</w:t>
            </w:r>
          </w:p>
        </w:tc>
        <w:tc>
          <w:tcPr/>
          <w:p>
            <w:pPr>
              <w:pStyle w:val="Compact"/>
              <w:jc w:val="left"/>
            </w:pPr>
            <w:r>
              <w:t xml:space="preserve">1816</w:t>
            </w:r>
          </w:p>
        </w:tc>
        <w:tc>
          <w:tcPr/>
          <w:p>
            <w:pPr>
              <w:pStyle w:val="Compact"/>
              <w:jc w:val="left"/>
            </w:pPr>
            <w:r>
              <w:t xml:space="preserve">Domingo Faustino Sarmiento</w:t>
            </w:r>
          </w:p>
        </w:tc>
        <w:tc>
          <w:tcPr/>
          <w:p>
            <w:pPr>
              <w:pStyle w:val="Compact"/>
              <w:jc w:val="left"/>
            </w:pPr>
            <w:r>
              <w:t xml:space="preserve">President</w:t>
            </w:r>
          </w:p>
        </w:tc>
      </w:tr>
      <w:tr>
        <w:tc>
          <w:tcPr/>
          <w:p>
            <w:pPr>
              <w:pStyle w:val="Compact"/>
              <w:jc w:val="left"/>
            </w:pPr>
            <w:r>
              <w:t xml:space="preserve">Chile</w:t>
            </w:r>
          </w:p>
        </w:tc>
        <w:tc>
          <w:tcPr/>
          <w:p>
            <w:pPr>
              <w:pStyle w:val="Compact"/>
              <w:jc w:val="left"/>
            </w:pPr>
            <w:r>
              <w:t xml:space="preserve">Independent</w:t>
            </w:r>
          </w:p>
        </w:tc>
        <w:tc>
          <w:tcPr/>
          <w:p>
            <w:pPr>
              <w:pStyle w:val="Compact"/>
              <w:jc w:val="left"/>
            </w:pPr>
            <w:r>
              <w:t xml:space="preserve">1818</w:t>
            </w:r>
          </w:p>
        </w:tc>
        <w:tc>
          <w:tcPr/>
          <w:p>
            <w:pPr>
              <w:pStyle w:val="Compact"/>
              <w:jc w:val="left"/>
            </w:pPr>
            <w:r>
              <w:t xml:space="preserve">Federico Errázuriz Zañartu</w:t>
            </w:r>
          </w:p>
        </w:tc>
        <w:tc>
          <w:tcPr/>
          <w:p>
            <w:pPr>
              <w:pStyle w:val="Compact"/>
              <w:jc w:val="left"/>
            </w:pPr>
            <w:r>
              <w:t xml:space="preserve">President</w:t>
            </w:r>
          </w:p>
        </w:tc>
      </w:tr>
      <w:tr>
        <w:tc>
          <w:tcPr/>
          <w:p>
            <w:pPr>
              <w:pStyle w:val="Compact"/>
              <w:jc w:val="left"/>
            </w:pPr>
            <w:r>
              <w:t xml:space="preserve">Colombia</w:t>
            </w:r>
          </w:p>
        </w:tc>
        <w:tc>
          <w:tcPr/>
          <w:p>
            <w:pPr>
              <w:pStyle w:val="Compact"/>
              <w:jc w:val="left"/>
            </w:pPr>
            <w:r>
              <w:t xml:space="preserve">Independent</w:t>
            </w:r>
          </w:p>
        </w:tc>
        <w:tc>
          <w:tcPr/>
          <w:p>
            <w:pPr>
              <w:pStyle w:val="Compact"/>
              <w:jc w:val="left"/>
            </w:pPr>
            <w:r>
              <w:t xml:space="preserve">1819</w:t>
            </w:r>
          </w:p>
        </w:tc>
        <w:tc>
          <w:tcPr/>
          <w:p>
            <w:pPr>
              <w:pStyle w:val="Compact"/>
              <w:jc w:val="left"/>
            </w:pPr>
            <w:r>
              <w:t xml:space="preserve">Manuel Murillo Toro</w:t>
            </w:r>
          </w:p>
        </w:tc>
        <w:tc>
          <w:tcPr/>
          <w:p>
            <w:pPr>
              <w:pStyle w:val="Compact"/>
              <w:jc w:val="left"/>
            </w:pPr>
            <w:r>
              <w:t xml:space="preserve">President</w:t>
            </w:r>
          </w:p>
        </w:tc>
      </w:tr>
      <w:tr>
        <w:tc>
          <w:tcPr/>
          <w:p>
            <w:pPr>
              <w:pStyle w:val="Compact"/>
              <w:jc w:val="left"/>
            </w:pPr>
            <w:r>
              <w:t xml:space="preserve">Mexico</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Sebastián Lerdo de Tejada</w:t>
            </w:r>
          </w:p>
        </w:tc>
        <w:tc>
          <w:tcPr/>
          <w:p>
            <w:pPr>
              <w:pStyle w:val="Compact"/>
              <w:jc w:val="left"/>
            </w:pPr>
            <w:r>
              <w:t xml:space="preserve">President</w:t>
            </w:r>
          </w:p>
        </w:tc>
      </w:tr>
      <w:tr>
        <w:tc>
          <w:tcPr/>
          <w:p>
            <w:pPr>
              <w:pStyle w:val="Compact"/>
              <w:jc w:val="left"/>
            </w:pPr>
            <w:r>
              <w:t xml:space="preserve">Peru</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Manuel Pardo y Lavalle</w:t>
            </w:r>
          </w:p>
        </w:tc>
        <w:tc>
          <w:tcPr/>
          <w:p>
            <w:pPr>
              <w:pStyle w:val="Compact"/>
              <w:jc w:val="left"/>
            </w:pPr>
            <w:r>
              <w:t xml:space="preserve">President</w:t>
            </w:r>
          </w:p>
        </w:tc>
      </w:tr>
      <w:tr>
        <w:tc>
          <w:tcPr/>
          <w:p>
            <w:pPr>
              <w:pStyle w:val="Compact"/>
              <w:jc w:val="left"/>
            </w:pPr>
            <w:r>
              <w:t xml:space="preserve">Guatemala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Justo Rufino Barrios</w:t>
            </w:r>
          </w:p>
        </w:tc>
        <w:tc>
          <w:tcPr/>
          <w:p>
            <w:pPr>
              <w:pStyle w:val="Compact"/>
              <w:jc w:val="left"/>
            </w:pPr>
            <w:r>
              <w:t xml:space="preserve">President</w:t>
            </w:r>
          </w:p>
        </w:tc>
      </w:tr>
      <w:tr>
        <w:tc>
          <w:tcPr/>
          <w:p>
            <w:pPr>
              <w:pStyle w:val="Compact"/>
              <w:jc w:val="left"/>
            </w:pPr>
            <w:r>
              <w:t xml:space="preserve">El Salvador</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Santiago González</w:t>
            </w:r>
          </w:p>
        </w:tc>
        <w:tc>
          <w:tcPr/>
          <w:p>
            <w:pPr>
              <w:pStyle w:val="Compact"/>
              <w:jc w:val="left"/>
            </w:pPr>
            <w:r>
              <w:t xml:space="preserve">President</w:t>
            </w:r>
          </w:p>
        </w:tc>
      </w:tr>
      <w:tr>
        <w:tc>
          <w:tcPr/>
          <w:p>
            <w:pPr>
              <w:pStyle w:val="Compact"/>
              <w:jc w:val="left"/>
            </w:pPr>
            <w:r>
              <w:t xml:space="preserve">Honduras</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Carlos Céleo Arias</w:t>
            </w:r>
          </w:p>
        </w:tc>
        <w:tc>
          <w:tcPr/>
          <w:p>
            <w:pPr>
              <w:pStyle w:val="Compact"/>
              <w:jc w:val="left"/>
            </w:pPr>
            <w:r>
              <w:t xml:space="preserve">President</w:t>
            </w:r>
          </w:p>
        </w:tc>
      </w:tr>
      <w:tr>
        <w:tc>
          <w:tcPr/>
          <w:p>
            <w:pPr>
              <w:pStyle w:val="Compact"/>
              <w:jc w:val="left"/>
            </w:pPr>
            <w:r>
              <w:t xml:space="preserve">Nicaragua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José Diriangén Dávila</w:t>
            </w:r>
          </w:p>
        </w:tc>
        <w:tc>
          <w:tcPr/>
          <w:p>
            <w:pPr>
              <w:pStyle w:val="Compact"/>
              <w:jc w:val="left"/>
            </w:pPr>
            <w:r>
              <w:t xml:space="preserve">President</w:t>
            </w:r>
          </w:p>
        </w:tc>
      </w:tr>
      <w:tr>
        <w:tc>
          <w:tcPr/>
          <w:p>
            <w:pPr>
              <w:pStyle w:val="Compact"/>
              <w:jc w:val="left"/>
            </w:pPr>
            <w:r>
              <w:t xml:space="preserve">Costa Rica</w:t>
            </w:r>
          </w:p>
        </w:tc>
        <w:tc>
          <w:tcPr/>
          <w:p>
            <w:pPr>
              <w:pStyle w:val="Compact"/>
              <w:jc w:val="left"/>
            </w:pPr>
            <w:r>
              <w:t xml:space="preserve">Independent</w:t>
            </w:r>
          </w:p>
        </w:tc>
        <w:tc>
          <w:tcPr/>
          <w:p>
            <w:pPr>
              <w:pStyle w:val="Compact"/>
              <w:jc w:val="left"/>
            </w:pPr>
            <w:r>
              <w:t xml:space="preserve">1821</w:t>
            </w:r>
          </w:p>
        </w:tc>
        <w:tc>
          <w:tcPr/>
          <w:p>
            <w:pPr>
              <w:pStyle w:val="Compact"/>
              <w:jc w:val="left"/>
            </w:pPr>
            <w:r>
              <w:t xml:space="preserve">Tomás Guardia Gutiérrez</w:t>
            </w:r>
          </w:p>
        </w:tc>
        <w:tc>
          <w:tcPr/>
          <w:p>
            <w:pPr>
              <w:pStyle w:val="Compact"/>
              <w:jc w:val="left"/>
            </w:pPr>
            <w:r>
              <w:t xml:space="preserve">President</w:t>
            </w:r>
          </w:p>
        </w:tc>
      </w:tr>
      <w:tr>
        <w:tc>
          <w:tcPr/>
          <w:p>
            <w:pPr>
              <w:pStyle w:val="Compact"/>
              <w:jc w:val="left"/>
            </w:pPr>
            <w:r>
              <w:t xml:space="preserve">Brazil</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Pedro II</w:t>
            </w:r>
          </w:p>
        </w:tc>
        <w:tc>
          <w:tcPr/>
          <w:p>
            <w:pPr>
              <w:pStyle w:val="Compact"/>
              <w:jc w:val="left"/>
            </w:pPr>
            <w:r>
              <w:t xml:space="preserve">Emperor</w:t>
            </w:r>
          </w:p>
        </w:tc>
      </w:tr>
      <w:tr>
        <w:tc>
          <w:tcPr/>
          <w:p>
            <w:pPr>
              <w:pStyle w:val="Compact"/>
              <w:jc w:val="left"/>
            </w:pPr>
            <w:r>
              <w:t xml:space="preserve">Ecuador</w:t>
            </w:r>
          </w:p>
        </w:tc>
        <w:tc>
          <w:tcPr/>
          <w:p>
            <w:pPr>
              <w:pStyle w:val="Compact"/>
              <w:jc w:val="left"/>
            </w:pPr>
            <w:r>
              <w:t xml:space="preserve">Independent</w:t>
            </w:r>
          </w:p>
        </w:tc>
        <w:tc>
          <w:tcPr/>
          <w:p>
            <w:pPr>
              <w:pStyle w:val="Compact"/>
              <w:jc w:val="left"/>
            </w:pPr>
            <w:r>
              <w:t xml:space="preserve">1822</w:t>
            </w:r>
          </w:p>
        </w:tc>
        <w:tc>
          <w:tcPr/>
          <w:p>
            <w:pPr>
              <w:pStyle w:val="Compact"/>
              <w:jc w:val="left"/>
            </w:pPr>
            <w:r>
              <w:t xml:space="preserve">Gabriel García Moreno</w:t>
            </w:r>
          </w:p>
        </w:tc>
        <w:tc>
          <w:tcPr/>
          <w:p>
            <w:pPr>
              <w:pStyle w:val="Compact"/>
              <w:jc w:val="left"/>
            </w:pPr>
            <w:r>
              <w:t xml:space="preserve">President</w:t>
            </w:r>
          </w:p>
        </w:tc>
      </w:tr>
      <w:tr>
        <w:tc>
          <w:tcPr/>
          <w:p>
            <w:pPr>
              <w:pStyle w:val="Compact"/>
              <w:jc w:val="left"/>
            </w:pPr>
            <w:r>
              <w:t xml:space="preserve">Bolivia</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Adolfo Ballivián</w:t>
            </w:r>
          </w:p>
        </w:tc>
        <w:tc>
          <w:tcPr/>
          <w:p>
            <w:pPr>
              <w:pStyle w:val="Compact"/>
              <w:jc w:val="left"/>
            </w:pPr>
            <w:r>
              <w:t xml:space="preserve">President</w:t>
            </w:r>
          </w:p>
        </w:tc>
      </w:tr>
      <w:tr>
        <w:tc>
          <w:tcPr/>
          <w:p>
            <w:pPr>
              <w:pStyle w:val="Compact"/>
              <w:jc w:val="left"/>
            </w:pPr>
            <w:r>
              <w:t xml:space="preserve">Uruguay</w:t>
            </w:r>
          </w:p>
        </w:tc>
        <w:tc>
          <w:tcPr/>
          <w:p>
            <w:pPr>
              <w:pStyle w:val="Compact"/>
              <w:jc w:val="left"/>
            </w:pPr>
            <w:r>
              <w:t xml:space="preserve">Independent</w:t>
            </w:r>
          </w:p>
        </w:tc>
        <w:tc>
          <w:tcPr/>
          <w:p>
            <w:pPr>
              <w:pStyle w:val="Compact"/>
              <w:jc w:val="left"/>
            </w:pPr>
            <w:r>
              <w:t xml:space="preserve">1825</w:t>
            </w:r>
          </w:p>
        </w:tc>
        <w:tc>
          <w:tcPr/>
          <w:p>
            <w:pPr>
              <w:pStyle w:val="Compact"/>
              <w:jc w:val="left"/>
            </w:pPr>
            <w:r>
              <w:t xml:space="preserve">Tomás Gomensoro</w:t>
            </w:r>
          </w:p>
        </w:tc>
        <w:tc>
          <w:tcPr/>
          <w:p>
            <w:pPr>
              <w:pStyle w:val="Compact"/>
              <w:jc w:val="left"/>
            </w:pPr>
            <w:r>
              <w:t xml:space="preserve">Interim President</w:t>
            </w:r>
          </w:p>
        </w:tc>
      </w:tr>
      <w:tr>
        <w:tc>
          <w:tcPr/>
          <w:p>
            <w:pPr>
              <w:pStyle w:val="Compact"/>
              <w:jc w:val="left"/>
            </w:pPr>
            <w:r>
              <w:t xml:space="preserve">Dominican Republic</w:t>
            </w:r>
          </w:p>
        </w:tc>
        <w:tc>
          <w:tcPr/>
          <w:p>
            <w:pPr>
              <w:pStyle w:val="Compact"/>
              <w:jc w:val="left"/>
            </w:pPr>
            <w:r>
              <w:t xml:space="preserve">Independent</w:t>
            </w:r>
          </w:p>
        </w:tc>
        <w:tc>
          <w:tcPr/>
          <w:p>
            <w:pPr>
              <w:pStyle w:val="Compact"/>
              <w:jc w:val="left"/>
            </w:pPr>
            <w:r>
              <w:t xml:space="preserve">1844</w:t>
            </w:r>
          </w:p>
        </w:tc>
        <w:tc>
          <w:tcPr/>
          <w:p>
            <w:pPr>
              <w:pStyle w:val="Compact"/>
              <w:jc w:val="left"/>
            </w:pPr>
            <w:r>
              <w:t xml:space="preserve">Ignacio González</w:t>
            </w:r>
          </w:p>
        </w:tc>
        <w:tc>
          <w:tcPr/>
          <w:p>
            <w:pPr>
              <w:pStyle w:val="Compact"/>
              <w:jc w:val="left"/>
            </w:pPr>
            <w:r>
              <w:t xml:space="preserve">President</w:t>
            </w:r>
          </w:p>
        </w:tc>
      </w:tr>
      <w:tr>
        <w:tc>
          <w:tcPr/>
          <w:p>
            <w:pPr>
              <w:pStyle w:val="Compact"/>
              <w:jc w:val="left"/>
            </w:pPr>
            <w:r>
              <w:t xml:space="preserve">United Kingdom</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Spain</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Emilio Castelar</w:t>
            </w:r>
          </w:p>
        </w:tc>
        <w:tc>
          <w:tcPr/>
          <w:p>
            <w:pPr>
              <w:pStyle w:val="Compact"/>
              <w:jc w:val="left"/>
            </w:pPr>
            <w:r>
              <w:t xml:space="preserve">President</w:t>
            </w:r>
            <w:r>
              <w:rPr>
                <w:rStyle w:val="FootnoteReference"/>
              </w:rPr>
              <w:footnoteReference w:id="1057"/>
            </w:r>
          </w:p>
        </w:tc>
      </w:tr>
      <w:tr>
        <w:tc>
          <w:tcPr/>
          <w:p>
            <w:pPr>
              <w:pStyle w:val="Compact"/>
              <w:jc w:val="left"/>
            </w:pPr>
            <w:r>
              <w:t xml:space="preserve">Netherlands</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William III</w:t>
            </w:r>
          </w:p>
        </w:tc>
        <w:tc>
          <w:tcPr/>
          <w:p>
            <w:pPr>
              <w:pStyle w:val="Compact"/>
              <w:jc w:val="left"/>
            </w:pPr>
            <w:r>
              <w:t xml:space="preserve">King</w:t>
            </w:r>
          </w:p>
        </w:tc>
      </w:tr>
      <w:tr>
        <w:tc>
          <w:tcPr/>
          <w:p>
            <w:pPr>
              <w:pStyle w:val="Compact"/>
              <w:jc w:val="left"/>
            </w:pPr>
            <w:r>
              <w:t xml:space="preserve">France</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Patrice de MacMahon</w:t>
            </w:r>
          </w:p>
        </w:tc>
        <w:tc>
          <w:tcPr/>
          <w:p>
            <w:pPr>
              <w:pStyle w:val="Compact"/>
              <w:jc w:val="left"/>
            </w:pPr>
            <w:r>
              <w:t xml:space="preserve">President</w:t>
            </w:r>
            <w:r>
              <w:rPr>
                <w:rStyle w:val="FootnoteReference"/>
              </w:rPr>
              <w:footnoteReference w:id="1058"/>
            </w:r>
          </w:p>
        </w:tc>
      </w:tr>
      <w:tr>
        <w:tc>
          <w:tcPr/>
          <w:p>
            <w:pPr>
              <w:pStyle w:val="Compact"/>
              <w:jc w:val="left"/>
            </w:pPr>
            <w:r>
              <w:t xml:space="preserve">Denmark</w:t>
            </w:r>
          </w:p>
        </w:tc>
        <w:tc>
          <w:tcPr/>
          <w:p>
            <w:pPr>
              <w:pStyle w:val="Compact"/>
              <w:jc w:val="left"/>
            </w:pPr>
            <w:r>
              <w:t xml:space="preserve">Colonial Power</w:t>
            </w:r>
          </w:p>
        </w:tc>
        <w:tc>
          <w:tcPr/>
          <w:p>
            <w:pPr>
              <w:pStyle w:val="Compact"/>
              <w:jc w:val="left"/>
            </w:pPr>
            <w:r>
              <w:t xml:space="preserve">N/A</w:t>
            </w:r>
          </w:p>
        </w:tc>
        <w:tc>
          <w:tcPr/>
          <w:p>
            <w:pPr>
              <w:pStyle w:val="Compact"/>
              <w:jc w:val="left"/>
            </w:pPr>
            <w:r>
              <w:t xml:space="preserve">Christian IX</w:t>
            </w:r>
          </w:p>
        </w:tc>
        <w:tc>
          <w:tcPr/>
          <w:p>
            <w:pPr>
              <w:pStyle w:val="Compact"/>
              <w:jc w:val="left"/>
            </w:pPr>
            <w:r>
              <w:t xml:space="preserve">King</w:t>
            </w:r>
          </w:p>
        </w:tc>
      </w:tr>
    </w:tbl>
    <w:bookmarkEnd w:id="1059"/>
    <w:bookmarkStart w:id="1060" w:name="table-political-leaders-of-europe"/>
    <w:p>
      <w:pPr>
        <w:pStyle w:val="Heading2"/>
      </w:pPr>
      <w:r>
        <w:t xml:space="preserve">Table: Political Leaders Of Europe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Nation</w:t>
            </w:r>
          </w:p>
        </w:tc>
        <w:tc>
          <w:tcPr/>
          <w:p>
            <w:pPr>
              <w:pStyle w:val="Compact"/>
              <w:jc w:val="left"/>
            </w:pPr>
            <w:r>
              <w:t xml:space="preserve">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German Empire</w:t>
            </w:r>
          </w:p>
        </w:tc>
        <w:tc>
          <w:tcPr/>
          <w:p>
            <w:pPr>
              <w:pStyle w:val="Compact"/>
              <w:jc w:val="left"/>
            </w:pPr>
            <w:r>
              <w:t xml:space="preserve">Empire</w:t>
            </w:r>
          </w:p>
        </w:tc>
        <w:tc>
          <w:tcPr/>
          <w:p>
            <w:pPr>
              <w:pStyle w:val="Compact"/>
              <w:jc w:val="left"/>
            </w:pPr>
            <w:r>
              <w:t xml:space="preserve">Wilhelm I</w:t>
            </w:r>
          </w:p>
        </w:tc>
        <w:tc>
          <w:tcPr/>
          <w:p>
            <w:pPr>
              <w:pStyle w:val="Compact"/>
              <w:jc w:val="left"/>
            </w:pPr>
            <w:r>
              <w:t xml:space="preserve">Emperor (Kaiser)</w:t>
            </w:r>
          </w:p>
        </w:tc>
      </w:tr>
      <w:tr>
        <w:tc>
          <w:tcPr/>
          <w:p>
            <w:pPr>
              <w:pStyle w:val="Compact"/>
              <w:jc w:val="left"/>
            </w:pPr>
            <w:r>
              <w:t xml:space="preserve">Austria Hungary</w:t>
            </w:r>
          </w:p>
        </w:tc>
        <w:tc>
          <w:tcPr/>
          <w:p>
            <w:pPr>
              <w:pStyle w:val="Compact"/>
              <w:jc w:val="left"/>
            </w:pPr>
            <w:r>
              <w:t xml:space="preserve">Dual Monarchy</w:t>
            </w:r>
          </w:p>
        </w:tc>
        <w:tc>
          <w:tcPr/>
          <w:p>
            <w:pPr>
              <w:pStyle w:val="Compact"/>
              <w:jc w:val="left"/>
            </w:pPr>
            <w:r>
              <w:t xml:space="preserve">Franz Joseph I</w:t>
            </w:r>
          </w:p>
        </w:tc>
        <w:tc>
          <w:tcPr/>
          <w:p>
            <w:pPr>
              <w:pStyle w:val="Compact"/>
              <w:jc w:val="left"/>
            </w:pPr>
            <w:r>
              <w:t xml:space="preserve">Emperor King</w:t>
            </w:r>
          </w:p>
        </w:tc>
      </w:tr>
      <w:tr>
        <w:tc>
          <w:tcPr/>
          <w:p>
            <w:pPr>
              <w:pStyle w:val="Compact"/>
              <w:jc w:val="left"/>
            </w:pPr>
            <w:r>
              <w:t xml:space="preserve">United Kingdom</w:t>
            </w:r>
          </w:p>
        </w:tc>
        <w:tc>
          <w:tcPr/>
          <w:p>
            <w:pPr>
              <w:pStyle w:val="Compact"/>
              <w:jc w:val="left"/>
            </w:pPr>
            <w:r>
              <w:t xml:space="preserve">Monarchy</w:t>
            </w:r>
          </w:p>
        </w:tc>
        <w:tc>
          <w:tcPr/>
          <w:p>
            <w:pPr>
              <w:pStyle w:val="Compact"/>
              <w:jc w:val="left"/>
            </w:pPr>
            <w:r>
              <w:t xml:space="preserve">Queen Victoria</w:t>
            </w:r>
          </w:p>
        </w:tc>
        <w:tc>
          <w:tcPr/>
          <w:p>
            <w:pPr>
              <w:pStyle w:val="Compact"/>
              <w:jc w:val="left"/>
            </w:pPr>
            <w:r>
              <w:t xml:space="preserve">Queen</w:t>
            </w:r>
          </w:p>
        </w:tc>
      </w:tr>
      <w:tr>
        <w:tc>
          <w:tcPr/>
          <w:p>
            <w:pPr>
              <w:pStyle w:val="Compact"/>
              <w:jc w:val="left"/>
            </w:pPr>
            <w:r>
              <w:t xml:space="preserve">Russian Empire</w:t>
            </w:r>
          </w:p>
        </w:tc>
        <w:tc>
          <w:tcPr/>
          <w:p>
            <w:pPr>
              <w:pStyle w:val="Compact"/>
              <w:jc w:val="left"/>
            </w:pPr>
            <w:r>
              <w:t xml:space="preserve">Empire</w:t>
            </w:r>
          </w:p>
        </w:tc>
        <w:tc>
          <w:tcPr/>
          <w:p>
            <w:pPr>
              <w:pStyle w:val="Compact"/>
              <w:jc w:val="left"/>
            </w:pPr>
            <w:r>
              <w:t xml:space="preserve">Alexander II</w:t>
            </w:r>
          </w:p>
        </w:tc>
        <w:tc>
          <w:tcPr/>
          <w:p>
            <w:pPr>
              <w:pStyle w:val="Compact"/>
              <w:jc w:val="left"/>
            </w:pPr>
            <w:r>
              <w:t xml:space="preserve">Emperor (Tsar)</w:t>
            </w:r>
          </w:p>
        </w:tc>
      </w:tr>
      <w:tr>
        <w:tc>
          <w:tcPr/>
          <w:p>
            <w:pPr>
              <w:pStyle w:val="Compact"/>
              <w:jc w:val="left"/>
            </w:pPr>
            <w:r>
              <w:t xml:space="preserve">French Republic</w:t>
            </w:r>
          </w:p>
        </w:tc>
        <w:tc>
          <w:tcPr/>
          <w:p>
            <w:pPr>
              <w:pStyle w:val="Compact"/>
              <w:jc w:val="left"/>
            </w:pPr>
            <w:r>
              <w:t xml:space="preserve">Republic</w:t>
            </w:r>
          </w:p>
        </w:tc>
        <w:tc>
          <w:tcPr/>
          <w:p>
            <w:pPr>
              <w:pStyle w:val="Compact"/>
              <w:jc w:val="left"/>
            </w:pPr>
            <w:r>
              <w:t xml:space="preserve">Patrice de MacMahon</w:t>
            </w:r>
          </w:p>
        </w:tc>
        <w:tc>
          <w:tcPr/>
          <w:p>
            <w:pPr>
              <w:pStyle w:val="Compact"/>
              <w:jc w:val="left"/>
            </w:pPr>
            <w:r>
              <w:t xml:space="preserve">President</w:t>
            </w:r>
          </w:p>
        </w:tc>
      </w:tr>
      <w:tr>
        <w:tc>
          <w:tcPr/>
          <w:p>
            <w:pPr>
              <w:pStyle w:val="Compact"/>
              <w:jc w:val="left"/>
            </w:pPr>
            <w:r>
              <w:t xml:space="preserve">Ottoman Empire</w:t>
            </w:r>
          </w:p>
        </w:tc>
        <w:tc>
          <w:tcPr/>
          <w:p>
            <w:pPr>
              <w:pStyle w:val="Compact"/>
              <w:jc w:val="left"/>
            </w:pPr>
            <w:r>
              <w:t xml:space="preserve">Empire</w:t>
            </w:r>
          </w:p>
        </w:tc>
        <w:tc>
          <w:tcPr/>
          <w:p>
            <w:pPr>
              <w:pStyle w:val="Compact"/>
              <w:jc w:val="left"/>
            </w:pPr>
            <w:r>
              <w:t xml:space="preserve">Sultan Abdülaziz</w:t>
            </w:r>
          </w:p>
        </w:tc>
        <w:tc>
          <w:tcPr/>
          <w:p>
            <w:pPr>
              <w:pStyle w:val="Compact"/>
              <w:jc w:val="left"/>
            </w:pPr>
            <w:r>
              <w:t xml:space="preserve">Sultan Padishah</w:t>
            </w:r>
          </w:p>
        </w:tc>
      </w:tr>
      <w:tr>
        <w:tc>
          <w:tcPr/>
          <w:p>
            <w:pPr>
              <w:pStyle w:val="Compact"/>
              <w:jc w:val="left"/>
            </w:pPr>
            <w:r>
              <w:t xml:space="preserve">Kingdom of Italy</w:t>
            </w:r>
          </w:p>
        </w:tc>
        <w:tc>
          <w:tcPr/>
          <w:p>
            <w:pPr>
              <w:pStyle w:val="Compact"/>
              <w:jc w:val="left"/>
            </w:pPr>
            <w:r>
              <w:t xml:space="preserve">Monarchy</w:t>
            </w:r>
          </w:p>
        </w:tc>
        <w:tc>
          <w:tcPr/>
          <w:p>
            <w:pPr>
              <w:pStyle w:val="Compact"/>
              <w:jc w:val="left"/>
            </w:pPr>
            <w:r>
              <w:t xml:space="preserve">Victor Emmanuel II</w:t>
            </w:r>
          </w:p>
        </w:tc>
        <w:tc>
          <w:tcPr/>
          <w:p>
            <w:pPr>
              <w:pStyle w:val="Compact"/>
              <w:jc w:val="left"/>
            </w:pPr>
            <w:r>
              <w:t xml:space="preserve">King</w:t>
            </w:r>
          </w:p>
        </w:tc>
      </w:tr>
      <w:tr>
        <w:tc>
          <w:tcPr/>
          <w:p>
            <w:pPr>
              <w:pStyle w:val="Compact"/>
              <w:jc w:val="left"/>
            </w:pPr>
            <w:r>
              <w:t xml:space="preserve">Spain</w:t>
            </w:r>
          </w:p>
        </w:tc>
        <w:tc>
          <w:tcPr/>
          <w:p>
            <w:pPr>
              <w:pStyle w:val="Compact"/>
              <w:jc w:val="left"/>
            </w:pPr>
            <w:r>
              <w:t xml:space="preserve">Republic*</w:t>
            </w:r>
          </w:p>
        </w:tc>
        <w:tc>
          <w:tcPr/>
          <w:p>
            <w:pPr>
              <w:pStyle w:val="Compact"/>
              <w:jc w:val="left"/>
            </w:pPr>
            <w:r>
              <w:t xml:space="preserve">Emilio Castelar</w:t>
            </w:r>
          </w:p>
        </w:tc>
        <w:tc>
          <w:tcPr/>
          <w:p>
            <w:pPr>
              <w:pStyle w:val="Compact"/>
              <w:jc w:val="left"/>
            </w:pPr>
            <w:r>
              <w:t xml:space="preserve">President*</w:t>
            </w:r>
          </w:p>
        </w:tc>
      </w:tr>
      <w:tr>
        <w:tc>
          <w:tcPr/>
          <w:p>
            <w:pPr>
              <w:pStyle w:val="Compact"/>
              <w:jc w:val="left"/>
            </w:pPr>
            <w:r>
              <w:t xml:space="preserve">Kingdom of Portugal</w:t>
            </w:r>
          </w:p>
        </w:tc>
        <w:tc>
          <w:tcPr/>
          <w:p>
            <w:pPr>
              <w:pStyle w:val="Compact"/>
              <w:jc w:val="left"/>
            </w:pPr>
            <w:r>
              <w:t xml:space="preserve">Monarchy</w:t>
            </w:r>
          </w:p>
        </w:tc>
        <w:tc>
          <w:tcPr/>
          <w:p>
            <w:pPr>
              <w:pStyle w:val="Compact"/>
              <w:jc w:val="left"/>
            </w:pPr>
            <w:r>
              <w:t xml:space="preserve">Luís I</w:t>
            </w:r>
          </w:p>
        </w:tc>
        <w:tc>
          <w:tcPr/>
          <w:p>
            <w:pPr>
              <w:pStyle w:val="Compact"/>
              <w:jc w:val="left"/>
            </w:pPr>
            <w:r>
              <w:t xml:space="preserve">King</w:t>
            </w:r>
          </w:p>
        </w:tc>
      </w:tr>
      <w:tr>
        <w:tc>
          <w:tcPr/>
          <w:p>
            <w:pPr>
              <w:pStyle w:val="Compact"/>
              <w:jc w:val="left"/>
            </w:pPr>
            <w:r>
              <w:t xml:space="preserve">Kingdom of Sweden</w:t>
            </w:r>
          </w:p>
        </w:tc>
        <w:tc>
          <w:tcPr/>
          <w:p>
            <w:pPr>
              <w:pStyle w:val="Compact"/>
              <w:jc w:val="left"/>
            </w:pPr>
            <w:r>
              <w:t xml:space="preserve">Monarchy</w:t>
            </w:r>
          </w:p>
        </w:tc>
        <w:tc>
          <w:tcPr/>
          <w:p>
            <w:pPr>
              <w:pStyle w:val="Compact"/>
              <w:jc w:val="left"/>
            </w:pPr>
            <w:r>
              <w:t xml:space="preserve">Oscar II</w:t>
            </w:r>
          </w:p>
        </w:tc>
        <w:tc>
          <w:tcPr/>
          <w:p>
            <w:pPr>
              <w:pStyle w:val="Compact"/>
              <w:jc w:val="left"/>
            </w:pPr>
            <w:r>
              <w:t xml:space="preserve">King</w:t>
            </w:r>
          </w:p>
        </w:tc>
      </w:tr>
      <w:tr>
        <w:tc>
          <w:tcPr/>
          <w:p>
            <w:pPr>
              <w:pStyle w:val="Compact"/>
              <w:jc w:val="left"/>
            </w:pPr>
            <w:r>
              <w:t xml:space="preserve">Kingdom of Greece</w:t>
            </w:r>
          </w:p>
        </w:tc>
        <w:tc>
          <w:tcPr/>
          <w:p>
            <w:pPr>
              <w:pStyle w:val="Compact"/>
              <w:jc w:val="left"/>
            </w:pPr>
            <w:r>
              <w:t xml:space="preserve">Monarchy</w:t>
            </w:r>
          </w:p>
        </w:tc>
        <w:tc>
          <w:tcPr/>
          <w:p>
            <w:pPr>
              <w:pStyle w:val="Compact"/>
              <w:jc w:val="left"/>
            </w:pPr>
            <w:r>
              <w:t xml:space="preserve">George I</w:t>
            </w:r>
          </w:p>
        </w:tc>
        <w:tc>
          <w:tcPr/>
          <w:p>
            <w:pPr>
              <w:pStyle w:val="Compact"/>
              <w:jc w:val="left"/>
            </w:pPr>
            <w:r>
              <w:t xml:space="preserve">King</w:t>
            </w:r>
          </w:p>
        </w:tc>
      </w:tr>
      <w:tr>
        <w:tc>
          <w:tcPr/>
          <w:p>
            <w:pPr>
              <w:pStyle w:val="Compact"/>
              <w:jc w:val="left"/>
            </w:pPr>
            <w:r>
              <w:t xml:space="preserve">Kingdom of Belgium</w:t>
            </w:r>
          </w:p>
        </w:tc>
        <w:tc>
          <w:tcPr/>
          <w:p>
            <w:pPr>
              <w:pStyle w:val="Compact"/>
              <w:jc w:val="left"/>
            </w:pPr>
            <w:r>
              <w:t xml:space="preserve">Monarchy</w:t>
            </w:r>
          </w:p>
        </w:tc>
        <w:tc>
          <w:tcPr/>
          <w:p>
            <w:pPr>
              <w:pStyle w:val="Compact"/>
              <w:jc w:val="left"/>
            </w:pPr>
            <w:r>
              <w:t xml:space="preserve">Leopold II</w:t>
            </w:r>
          </w:p>
        </w:tc>
        <w:tc>
          <w:tcPr/>
          <w:p>
            <w:pPr>
              <w:pStyle w:val="Compact"/>
              <w:jc w:val="left"/>
            </w:pPr>
            <w:r>
              <w:t xml:space="preserve">King</w:t>
            </w:r>
          </w:p>
        </w:tc>
      </w:tr>
      <w:tr>
        <w:tc>
          <w:tcPr/>
          <w:p>
            <w:pPr>
              <w:pStyle w:val="Compact"/>
              <w:jc w:val="left"/>
            </w:pPr>
            <w:r>
              <w:t xml:space="preserve">Kingdom of the Netherlands</w:t>
            </w:r>
          </w:p>
        </w:tc>
        <w:tc>
          <w:tcPr/>
          <w:p>
            <w:pPr>
              <w:pStyle w:val="Compact"/>
              <w:jc w:val="left"/>
            </w:pPr>
            <w:r>
              <w:t xml:space="preserve">Monarchy</w:t>
            </w:r>
          </w:p>
        </w:tc>
        <w:tc>
          <w:tcPr/>
          <w:p>
            <w:pPr>
              <w:pStyle w:val="Compact"/>
              <w:jc w:val="left"/>
            </w:pPr>
            <w:r>
              <w:t xml:space="preserve">William III</w:t>
            </w:r>
          </w:p>
        </w:tc>
        <w:tc>
          <w:tcPr/>
          <w:p>
            <w:pPr>
              <w:pStyle w:val="Compact"/>
              <w:jc w:val="left"/>
            </w:pPr>
            <w:r>
              <w:t xml:space="preserve">King</w:t>
            </w:r>
          </w:p>
        </w:tc>
      </w:tr>
    </w:tbl>
    <w:bookmarkEnd w:id="1060"/>
    <w:bookmarkStart w:id="1061" w:name="table-political-leaders-of-africa"/>
    <w:p>
      <w:pPr>
        <w:pStyle w:val="Heading2"/>
      </w:pPr>
      <w:r>
        <w:t xml:space="preserve">Table: Political Leaders Of Africa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Ethiopian Empire</w:t>
            </w:r>
          </w:p>
        </w:tc>
        <w:tc>
          <w:tcPr/>
          <w:p>
            <w:pPr>
              <w:pStyle w:val="Compact"/>
              <w:jc w:val="left"/>
            </w:pPr>
            <w:r>
              <w:t xml:space="preserve">Independent Empire</w:t>
            </w:r>
          </w:p>
        </w:tc>
        <w:tc>
          <w:tcPr/>
          <w:p>
            <w:pPr>
              <w:pStyle w:val="Compact"/>
              <w:jc w:val="left"/>
            </w:pPr>
            <w:r>
              <w:t xml:space="preserve">Yohannes IV</w:t>
            </w:r>
          </w:p>
        </w:tc>
        <w:tc>
          <w:tcPr/>
          <w:p>
            <w:pPr>
              <w:pStyle w:val="Compact"/>
              <w:jc w:val="left"/>
            </w:pPr>
            <w:r>
              <w:t xml:space="preserve">Emperor (Nəgusä Nägäst)</w:t>
            </w:r>
          </w:p>
        </w:tc>
      </w:tr>
      <w:tr>
        <w:tc>
          <w:tcPr/>
          <w:p>
            <w:pPr>
              <w:pStyle w:val="Compact"/>
              <w:jc w:val="left"/>
            </w:pPr>
            <w:r>
              <w:t xml:space="preserve">Republic of Liberia</w:t>
            </w:r>
          </w:p>
        </w:tc>
        <w:tc>
          <w:tcPr/>
          <w:p>
            <w:pPr>
              <w:pStyle w:val="Compact"/>
              <w:jc w:val="left"/>
            </w:pPr>
            <w:r>
              <w:t xml:space="preserve">Independent Republic</w:t>
            </w:r>
          </w:p>
        </w:tc>
        <w:tc>
          <w:tcPr/>
          <w:p>
            <w:pPr>
              <w:pStyle w:val="Compact"/>
              <w:jc w:val="left"/>
            </w:pPr>
            <w:r>
              <w:t xml:space="preserve">Joseph Jenkins Roberts</w:t>
            </w:r>
          </w:p>
        </w:tc>
        <w:tc>
          <w:tcPr/>
          <w:p>
            <w:pPr>
              <w:pStyle w:val="Compact"/>
              <w:jc w:val="left"/>
            </w:pPr>
            <w:r>
              <w:t xml:space="preserve">President</w:t>
            </w:r>
          </w:p>
        </w:tc>
      </w:tr>
      <w:tr>
        <w:tc>
          <w:tcPr/>
          <w:p>
            <w:pPr>
              <w:pStyle w:val="Compact"/>
              <w:jc w:val="left"/>
            </w:pPr>
            <w:r>
              <w:t xml:space="preserve">Egypt Khedivate</w:t>
            </w:r>
          </w:p>
        </w:tc>
        <w:tc>
          <w:tcPr/>
          <w:p>
            <w:pPr>
              <w:pStyle w:val="Compact"/>
              <w:jc w:val="left"/>
            </w:pPr>
            <w:r>
              <w:t xml:space="preserve">Autonomous State under Ottoman suzerainty</w:t>
            </w:r>
          </w:p>
        </w:tc>
        <w:tc>
          <w:tcPr/>
          <w:p>
            <w:pPr>
              <w:pStyle w:val="Compact"/>
              <w:jc w:val="left"/>
            </w:pPr>
            <w:r>
              <w:t xml:space="preserve">Isma’il Pasha</w:t>
            </w:r>
          </w:p>
        </w:tc>
        <w:tc>
          <w:tcPr/>
          <w:p>
            <w:pPr>
              <w:pStyle w:val="Compact"/>
              <w:jc w:val="left"/>
            </w:pPr>
            <w:r>
              <w:t xml:space="preserve">Khedive</w:t>
            </w:r>
          </w:p>
        </w:tc>
      </w:tr>
      <w:tr>
        <w:tc>
          <w:tcPr/>
          <w:p>
            <w:pPr>
              <w:pStyle w:val="Compact"/>
              <w:jc w:val="left"/>
            </w:pPr>
            <w:r>
              <w:t xml:space="preserve">Sultanate of Morocco</w:t>
            </w:r>
          </w:p>
        </w:tc>
        <w:tc>
          <w:tcPr/>
          <w:p>
            <w:pPr>
              <w:pStyle w:val="Compact"/>
              <w:jc w:val="left"/>
            </w:pPr>
            <w:r>
              <w:t xml:space="preserve">Independent Sultanate</w:t>
            </w:r>
          </w:p>
        </w:tc>
        <w:tc>
          <w:tcPr/>
          <w:p>
            <w:pPr>
              <w:pStyle w:val="Compact"/>
              <w:jc w:val="left"/>
            </w:pPr>
            <w:r>
              <w:t xml:space="preserve">Hassan I</w:t>
            </w:r>
          </w:p>
        </w:tc>
        <w:tc>
          <w:tcPr/>
          <w:p>
            <w:pPr>
              <w:pStyle w:val="Compact"/>
              <w:jc w:val="left"/>
            </w:pPr>
            <w:r>
              <w:t xml:space="preserve">Sultan</w:t>
            </w:r>
          </w:p>
        </w:tc>
      </w:tr>
      <w:tr>
        <w:tc>
          <w:tcPr/>
          <w:p>
            <w:pPr>
              <w:pStyle w:val="Compact"/>
              <w:jc w:val="left"/>
            </w:pPr>
            <w:r>
              <w:t xml:space="preserve">Tunis Beylik</w:t>
            </w:r>
          </w:p>
        </w:tc>
        <w:tc>
          <w:tcPr/>
          <w:p>
            <w:pPr>
              <w:pStyle w:val="Compact"/>
              <w:jc w:val="left"/>
            </w:pPr>
            <w:r>
              <w:t xml:space="preserve">Autonomous State under Ottoman suzerainty</w:t>
            </w:r>
          </w:p>
        </w:tc>
        <w:tc>
          <w:tcPr/>
          <w:p>
            <w:pPr>
              <w:pStyle w:val="Compact"/>
              <w:jc w:val="left"/>
            </w:pPr>
            <w:r>
              <w:t xml:space="preserve">Muhammad III as Sadiq</w:t>
            </w:r>
          </w:p>
        </w:tc>
        <w:tc>
          <w:tcPr/>
          <w:p>
            <w:pPr>
              <w:pStyle w:val="Compact"/>
              <w:jc w:val="left"/>
            </w:pPr>
            <w:r>
              <w:t xml:space="preserve">Bey</w:t>
            </w:r>
          </w:p>
        </w:tc>
      </w:tr>
      <w:tr>
        <w:tc>
          <w:tcPr/>
          <w:p>
            <w:pPr>
              <w:pStyle w:val="Compact"/>
              <w:jc w:val="left"/>
            </w:pPr>
            <w:r>
              <w:t xml:space="preserve">Oman and Zanzibar Sultanate</w:t>
            </w:r>
          </w:p>
        </w:tc>
        <w:tc>
          <w:tcPr/>
          <w:p>
            <w:pPr>
              <w:pStyle w:val="Compact"/>
              <w:jc w:val="left"/>
            </w:pPr>
            <w:r>
              <w:t xml:space="preserve">Independent</w:t>
            </w:r>
          </w:p>
        </w:tc>
        <w:tc>
          <w:tcPr/>
          <w:p>
            <w:pPr>
              <w:pStyle w:val="Compact"/>
              <w:jc w:val="left"/>
            </w:pPr>
            <w:r>
              <w:t xml:space="preserve">Sayyid Barghash bin Said</w:t>
            </w:r>
          </w:p>
        </w:tc>
        <w:tc>
          <w:tcPr/>
          <w:p>
            <w:pPr>
              <w:pStyle w:val="Compact"/>
              <w:jc w:val="left"/>
            </w:pPr>
            <w:r>
              <w:t xml:space="preserve">Sultan</w:t>
            </w:r>
          </w:p>
        </w:tc>
      </w:tr>
      <w:tr>
        <w:tc>
          <w:tcPr/>
          <w:p>
            <w:pPr>
              <w:pStyle w:val="Compact"/>
              <w:jc w:val="left"/>
            </w:pPr>
            <w:r>
              <w:t xml:space="preserve">Asante Empire</w:t>
            </w:r>
          </w:p>
        </w:tc>
        <w:tc>
          <w:tcPr/>
          <w:p>
            <w:pPr>
              <w:pStyle w:val="Compact"/>
              <w:jc w:val="left"/>
            </w:pPr>
            <w:r>
              <w:t xml:space="preserve">Independent Empire</w:t>
            </w:r>
          </w:p>
        </w:tc>
        <w:tc>
          <w:tcPr/>
          <w:p>
            <w:pPr>
              <w:pStyle w:val="Compact"/>
              <w:jc w:val="left"/>
            </w:pPr>
            <w:r>
              <w:t xml:space="preserve">Kofi Karikari</w:t>
            </w:r>
          </w:p>
        </w:tc>
        <w:tc>
          <w:tcPr/>
          <w:p>
            <w:pPr>
              <w:pStyle w:val="Compact"/>
              <w:jc w:val="left"/>
            </w:pPr>
            <w:r>
              <w:t xml:space="preserve">Asantehene</w:t>
            </w:r>
          </w:p>
        </w:tc>
      </w:tr>
      <w:tr>
        <w:tc>
          <w:tcPr/>
          <w:p>
            <w:pPr>
              <w:pStyle w:val="Compact"/>
              <w:jc w:val="left"/>
            </w:pPr>
            <w:r>
              <w:t xml:space="preserve">Merina Kingdom Madagascar</w:t>
            </w:r>
          </w:p>
        </w:tc>
        <w:tc>
          <w:tcPr/>
          <w:p>
            <w:pPr>
              <w:pStyle w:val="Compact"/>
              <w:jc w:val="left"/>
            </w:pPr>
            <w:r>
              <w:t xml:space="preserve">Independent Kingdom</w:t>
            </w:r>
          </w:p>
        </w:tc>
        <w:tc>
          <w:tcPr/>
          <w:p>
            <w:pPr>
              <w:pStyle w:val="Compact"/>
              <w:jc w:val="left"/>
            </w:pPr>
            <w:r>
              <w:t xml:space="preserve">Ranavalona II</w:t>
            </w:r>
          </w:p>
        </w:tc>
        <w:tc>
          <w:tcPr/>
          <w:p>
            <w:pPr>
              <w:pStyle w:val="Compact"/>
              <w:jc w:val="left"/>
            </w:pPr>
            <w:r>
              <w:t xml:space="preserve">Queen</w:t>
            </w:r>
          </w:p>
        </w:tc>
      </w:tr>
    </w:tbl>
    <w:bookmarkEnd w:id="1061"/>
    <w:bookmarkStart w:id="1062" w:name="table-political-leaders-of-asia"/>
    <w:p>
      <w:pPr>
        <w:pStyle w:val="Heading2"/>
      </w:pPr>
      <w:r>
        <w:t xml:space="preserve">Table: Political Leaders Of Asia</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Nation / State</w:t>
            </w:r>
          </w:p>
        </w:tc>
        <w:tc>
          <w:tcPr/>
          <w:p>
            <w:pPr>
              <w:pStyle w:val="Compact"/>
              <w:jc w:val="left"/>
            </w:pPr>
            <w:r>
              <w:t xml:space="preserve">Political Status (1873)</w:t>
            </w:r>
          </w:p>
        </w:tc>
        <w:tc>
          <w:tcPr/>
          <w:p>
            <w:pPr>
              <w:pStyle w:val="Compact"/>
              <w:jc w:val="left"/>
            </w:pPr>
            <w:r>
              <w:t xml:space="preserve">Head of State (in 1873)</w:t>
            </w:r>
          </w:p>
        </w:tc>
        <w:tc>
          <w:tcPr/>
          <w:p>
            <w:pPr>
              <w:pStyle w:val="Compact"/>
              <w:jc w:val="left"/>
            </w:pPr>
            <w:r>
              <w:t xml:space="preserve">Title</w:t>
            </w:r>
          </w:p>
        </w:tc>
      </w:tr>
      <w:tr>
        <w:tc>
          <w:tcPr/>
          <w:p>
            <w:pPr>
              <w:pStyle w:val="Compact"/>
              <w:jc w:val="left"/>
            </w:pPr>
            <w:r>
              <w:t xml:space="preserve">Qing Dynasty China</w:t>
            </w:r>
          </w:p>
        </w:tc>
        <w:tc>
          <w:tcPr/>
          <w:p>
            <w:pPr>
              <w:pStyle w:val="Compact"/>
              <w:jc w:val="left"/>
            </w:pPr>
            <w:r>
              <w:t xml:space="preserve">Empire</w:t>
            </w:r>
          </w:p>
        </w:tc>
        <w:tc>
          <w:tcPr/>
          <w:p>
            <w:pPr>
              <w:pStyle w:val="Compact"/>
              <w:jc w:val="left"/>
            </w:pPr>
            <w:r>
              <w:t xml:space="preserve">Tongzhi Emperor</w:t>
            </w:r>
          </w:p>
        </w:tc>
        <w:tc>
          <w:tcPr/>
          <w:p>
            <w:pPr>
              <w:pStyle w:val="Compact"/>
              <w:jc w:val="left"/>
            </w:pPr>
            <w:r>
              <w:t xml:space="preserve">Emperor</w:t>
            </w:r>
          </w:p>
        </w:tc>
      </w:tr>
      <w:tr>
        <w:tc>
          <w:tcPr/>
          <w:p>
            <w:pPr>
              <w:pStyle w:val="Compact"/>
              <w:jc w:val="left"/>
            </w:pPr>
            <w:r>
              <w:t xml:space="preserve">Meiji Japan</w:t>
            </w:r>
          </w:p>
        </w:tc>
        <w:tc>
          <w:tcPr/>
          <w:p>
            <w:pPr>
              <w:pStyle w:val="Compact"/>
              <w:jc w:val="left"/>
            </w:pPr>
            <w:r>
              <w:t xml:space="preserve">Empire</w:t>
            </w:r>
          </w:p>
        </w:tc>
        <w:tc>
          <w:tcPr/>
          <w:p>
            <w:pPr>
              <w:pStyle w:val="Compact"/>
              <w:jc w:val="left"/>
            </w:pPr>
            <w:r>
              <w:t xml:space="preserve">Emperor Meiji (Mutsuhito)</w:t>
            </w:r>
          </w:p>
        </w:tc>
        <w:tc>
          <w:tcPr/>
          <w:p>
            <w:pPr>
              <w:pStyle w:val="Compact"/>
              <w:jc w:val="left"/>
            </w:pPr>
            <w:r>
              <w:t xml:space="preserve">Emperor</w:t>
            </w:r>
          </w:p>
        </w:tc>
      </w:tr>
      <w:tr>
        <w:tc>
          <w:tcPr/>
          <w:p>
            <w:pPr>
              <w:pStyle w:val="Compact"/>
              <w:jc w:val="left"/>
            </w:pPr>
            <w:r>
              <w:t xml:space="preserve">Persia Qajar Dynasty</w:t>
            </w:r>
          </w:p>
        </w:tc>
        <w:tc>
          <w:tcPr/>
          <w:p>
            <w:pPr>
              <w:pStyle w:val="Compact"/>
              <w:jc w:val="left"/>
            </w:pPr>
            <w:r>
              <w:t xml:space="preserve">Empire</w:t>
            </w:r>
          </w:p>
        </w:tc>
        <w:tc>
          <w:tcPr/>
          <w:p>
            <w:pPr>
              <w:pStyle w:val="Compact"/>
              <w:jc w:val="left"/>
            </w:pPr>
            <w:r>
              <w:t xml:space="preserve">Nasser al Din Shah Qajar</w:t>
            </w:r>
          </w:p>
        </w:tc>
        <w:tc>
          <w:tcPr/>
          <w:p>
            <w:pPr>
              <w:pStyle w:val="Compact"/>
              <w:jc w:val="left"/>
            </w:pPr>
            <w:r>
              <w:t xml:space="preserve">Shah (King of Kings)</w:t>
            </w:r>
          </w:p>
        </w:tc>
      </w:tr>
      <w:tr>
        <w:tc>
          <w:tcPr/>
          <w:p>
            <w:pPr>
              <w:pStyle w:val="Compact"/>
              <w:jc w:val="left"/>
            </w:pPr>
            <w:r>
              <w:t xml:space="preserve">Siam Thailand</w:t>
            </w:r>
          </w:p>
        </w:tc>
        <w:tc>
          <w:tcPr/>
          <w:p>
            <w:pPr>
              <w:pStyle w:val="Compact"/>
              <w:jc w:val="left"/>
            </w:pPr>
            <w:r>
              <w:t xml:space="preserve">Kingdom</w:t>
            </w:r>
          </w:p>
        </w:tc>
        <w:tc>
          <w:tcPr/>
          <w:p>
            <w:pPr>
              <w:pStyle w:val="Compact"/>
              <w:jc w:val="left"/>
            </w:pPr>
            <w:r>
              <w:t xml:space="preserve">Chulalongkorn (Rama V)</w:t>
            </w:r>
          </w:p>
        </w:tc>
        <w:tc>
          <w:tcPr/>
          <w:p>
            <w:pPr>
              <w:pStyle w:val="Compact"/>
              <w:jc w:val="left"/>
            </w:pPr>
            <w:r>
              <w:t xml:space="preserve">King</w:t>
            </w:r>
          </w:p>
        </w:tc>
      </w:tr>
      <w:tr>
        <w:tc>
          <w:tcPr/>
          <w:p>
            <w:pPr>
              <w:pStyle w:val="Compact"/>
              <w:jc w:val="left"/>
            </w:pPr>
            <w:r>
              <w:t xml:space="preserve">Afghanistan</w:t>
            </w:r>
          </w:p>
        </w:tc>
        <w:tc>
          <w:tcPr/>
          <w:p>
            <w:pPr>
              <w:pStyle w:val="Compact"/>
              <w:jc w:val="left"/>
            </w:pPr>
            <w:r>
              <w:t xml:space="preserve">Emirate</w:t>
            </w:r>
          </w:p>
        </w:tc>
        <w:tc>
          <w:tcPr/>
          <w:p>
            <w:pPr>
              <w:pStyle w:val="Compact"/>
              <w:jc w:val="left"/>
            </w:pPr>
            <w:r>
              <w:t xml:space="preserve">Sher Ali Khan</w:t>
            </w:r>
          </w:p>
        </w:tc>
        <w:tc>
          <w:tcPr/>
          <w:p>
            <w:pPr>
              <w:pStyle w:val="Compact"/>
              <w:jc w:val="left"/>
            </w:pPr>
            <w:r>
              <w:t xml:space="preserve">Amir</w:t>
            </w:r>
          </w:p>
        </w:tc>
      </w:tr>
      <w:tr>
        <w:tc>
          <w:tcPr/>
          <w:p>
            <w:pPr>
              <w:pStyle w:val="Compact"/>
              <w:jc w:val="left"/>
            </w:pPr>
            <w:r>
              <w:t xml:space="preserve">Vietnam Nguyễn Dynasty</w:t>
            </w:r>
          </w:p>
        </w:tc>
        <w:tc>
          <w:tcPr/>
          <w:p>
            <w:pPr>
              <w:pStyle w:val="Compact"/>
              <w:jc w:val="left"/>
            </w:pPr>
            <w:r>
              <w:t xml:space="preserve">Empire under increasing French pressure</w:t>
            </w:r>
          </w:p>
        </w:tc>
        <w:tc>
          <w:tcPr/>
          <w:p>
            <w:pPr>
              <w:pStyle w:val="Compact"/>
              <w:jc w:val="left"/>
            </w:pPr>
            <w:r>
              <w:t xml:space="preserve">Tự Đức</w:t>
            </w:r>
          </w:p>
        </w:tc>
        <w:tc>
          <w:tcPr/>
          <w:p>
            <w:pPr>
              <w:pStyle w:val="Compact"/>
              <w:jc w:val="left"/>
            </w:pPr>
            <w:r>
              <w:t xml:space="preserve">Emperor</w:t>
            </w:r>
          </w:p>
        </w:tc>
      </w:tr>
      <w:tr>
        <w:tc>
          <w:tcPr/>
          <w:p>
            <w:pPr>
              <w:pStyle w:val="Compact"/>
              <w:jc w:val="left"/>
            </w:pPr>
            <w:r>
              <w:t xml:space="preserve">British India</w:t>
            </w:r>
          </w:p>
        </w:tc>
        <w:tc>
          <w:tcPr/>
          <w:p>
            <w:pPr>
              <w:pStyle w:val="Compact"/>
              <w:jc w:val="left"/>
            </w:pPr>
            <w:r>
              <w:t xml:space="preserve">Colonial Crown Rule</w:t>
            </w:r>
          </w:p>
        </w:tc>
        <w:tc>
          <w:tcPr/>
          <w:p>
            <w:pPr>
              <w:pStyle w:val="Compact"/>
              <w:jc w:val="left"/>
            </w:pPr>
            <w:r>
              <w:t xml:space="preserve">Queen Victoria</w:t>
            </w:r>
          </w:p>
        </w:tc>
        <w:tc>
          <w:tcPr/>
          <w:p>
            <w:pPr>
              <w:pStyle w:val="Compact"/>
              <w:jc w:val="left"/>
            </w:pPr>
            <w:r>
              <w:t xml:space="preserve">Empress of India</w:t>
            </w:r>
          </w:p>
        </w:tc>
      </w:tr>
      <w:tr>
        <w:tc>
          <w:tcPr/>
          <w:p>
            <w:pPr>
              <w:pStyle w:val="Compact"/>
              <w:jc w:val="left"/>
            </w:pPr>
            <w:r>
              <w:t xml:space="preserve">Dutch East Indies Indonesia</w:t>
            </w:r>
          </w:p>
        </w:tc>
        <w:tc>
          <w:tcPr/>
          <w:p>
            <w:pPr>
              <w:pStyle w:val="Compact"/>
              <w:jc w:val="left"/>
            </w:pPr>
            <w:r>
              <w:t xml:space="preserve">Colony</w:t>
            </w:r>
          </w:p>
        </w:tc>
        <w:tc>
          <w:tcPr/>
          <w:p>
            <w:pPr>
              <w:pStyle w:val="Compact"/>
              <w:jc w:val="left"/>
            </w:pPr>
            <w:r>
              <w:t xml:space="preserve">William III</w:t>
            </w:r>
          </w:p>
        </w:tc>
        <w:tc>
          <w:tcPr/>
          <w:p>
            <w:pPr>
              <w:pStyle w:val="Compact"/>
              <w:jc w:val="left"/>
            </w:pPr>
            <w:r>
              <w:t xml:space="preserve">King Sovereign Power</w:t>
            </w:r>
          </w:p>
        </w:tc>
      </w:tr>
      <w:tr>
        <w:tc>
          <w:tcPr/>
          <w:p>
            <w:pPr>
              <w:pStyle w:val="Compact"/>
              <w:jc w:val="left"/>
            </w:pPr>
            <w:r>
              <w:t xml:space="preserve">Joseon Korea</w:t>
            </w:r>
          </w:p>
        </w:tc>
        <w:tc>
          <w:tcPr/>
          <w:p>
            <w:pPr>
              <w:pStyle w:val="Compact"/>
              <w:jc w:val="left"/>
            </w:pPr>
            <w:r>
              <w:t xml:space="preserve">Kingdom</w:t>
            </w:r>
          </w:p>
        </w:tc>
        <w:tc>
          <w:tcPr/>
          <w:p>
            <w:pPr>
              <w:pStyle w:val="Compact"/>
              <w:jc w:val="left"/>
            </w:pPr>
            <w:r>
              <w:t xml:space="preserve">Gojong</w:t>
            </w:r>
          </w:p>
        </w:tc>
        <w:tc>
          <w:tcPr/>
          <w:p>
            <w:pPr>
              <w:pStyle w:val="Compact"/>
              <w:jc w:val="left"/>
            </w:pPr>
            <w:r>
              <w:t xml:space="preserve">King</w:t>
            </w:r>
          </w:p>
        </w:tc>
      </w:tr>
      <w:tr>
        <w:tc>
          <w:tcPr/>
          <w:p>
            <w:pPr>
              <w:pStyle w:val="Compact"/>
              <w:jc w:val="left"/>
            </w:pPr>
            <w:r>
              <w:t xml:space="preserve">Khivan Khanate</w:t>
            </w:r>
          </w:p>
        </w:tc>
        <w:tc>
          <w:tcPr/>
          <w:p>
            <w:pPr>
              <w:pStyle w:val="Compact"/>
              <w:jc w:val="left"/>
            </w:pPr>
            <w:r>
              <w:t xml:space="preserve">Khanate conquered by Russia in 1873</w:t>
            </w:r>
          </w:p>
        </w:tc>
        <w:tc>
          <w:tcPr/>
          <w:p>
            <w:pPr>
              <w:pStyle w:val="Compact"/>
              <w:jc w:val="left"/>
            </w:pPr>
            <w:r>
              <w:t xml:space="preserve">Muhammad Rahim Khan II</w:t>
            </w:r>
          </w:p>
        </w:tc>
        <w:tc>
          <w:tcPr/>
          <w:p>
            <w:pPr>
              <w:pStyle w:val="Compact"/>
              <w:jc w:val="left"/>
            </w:pPr>
            <w:r>
              <w:t xml:space="preserve">Khan</w:t>
            </w:r>
          </w:p>
        </w:tc>
      </w:tr>
    </w:tbl>
    <w:p>
      <w:r>
        <w:br w:type="page"/>
      </w:r>
    </w:p>
    <w:bookmarkEnd w:id="1062"/>
    <w:bookmarkEnd w:id="1063"/>
    <w:sectPr w:rsidR="00FB5E85">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Kitáb-i-Aqdas #144</w:t>
      </w:r>
    </w:p>
  </w:footnote>
  <w:footnote w:id="28">
    <w:p>
      <w:pPr>
        <w:pStyle w:val="FootnoteText"/>
      </w:pPr>
      <w:r>
        <w:rPr>
          <w:rStyle w:val="FootnoteReference"/>
        </w:rPr>
        <w:footnoteRef/>
      </w:r>
      <w:r>
        <w:t xml:space="preserve"> </w:t>
      </w:r>
      <w:r>
        <w:t xml:space="preserve">Kitáb-i-Aqdas #132</w:t>
      </w:r>
    </w:p>
  </w:footnote>
  <w:footnote w:id="33">
    <w:p>
      <w:pPr>
        <w:pStyle w:val="FootnoteText"/>
      </w:pPr>
      <w:r>
        <w:rPr>
          <w:rStyle w:val="FootnoteReference"/>
        </w:rPr>
        <w:footnoteRef/>
      </w:r>
      <w:r>
        <w:t xml:space="preserve"> </w:t>
      </w:r>
      <w:r>
        <w:t xml:space="preserve">Kitáb-i-Aqdas #59</w:t>
      </w:r>
    </w:p>
  </w:footnote>
  <w:footnote w:id="34">
    <w:p>
      <w:pPr>
        <w:pStyle w:val="FootnoteText"/>
      </w:pPr>
      <w:r>
        <w:rPr>
          <w:rStyle w:val="FootnoteReference"/>
        </w:rPr>
        <w:footnoteRef/>
      </w:r>
      <w:r>
        <w:t xml:space="preserve"> </w:t>
      </w:r>
      <w:r>
        <w:t xml:space="preserve">Kitáb-i-Aqdas #64</w:t>
      </w:r>
    </w:p>
  </w:footnote>
  <w:footnote w:id="40">
    <w:p>
      <w:pPr>
        <w:pStyle w:val="FootnoteText"/>
      </w:pPr>
      <w:r>
        <w:rPr>
          <w:rStyle w:val="FootnoteReference"/>
        </w:rPr>
        <w:footnoteRef/>
      </w:r>
      <w:r>
        <w:t xml:space="preserve"> </w:t>
      </w:r>
      <w:r>
        <w:t xml:space="preserve">The Hidden Words in Arabic #3</w:t>
      </w:r>
    </w:p>
  </w:footnote>
  <w:footnote w:id="44">
    <w:p>
      <w:pPr>
        <w:pStyle w:val="FootnoteText"/>
      </w:pPr>
      <w:r>
        <w:rPr>
          <w:rStyle w:val="FootnoteReference"/>
        </w:rPr>
        <w:footnoteRef/>
      </w:r>
      <w:r>
        <w:t xml:space="preserve"> </w:t>
      </w:r>
      <w:r>
        <w:t xml:space="preserve">Kitáb-i-Aqdas #66</w:t>
      </w:r>
    </w:p>
  </w:footnote>
  <w:footnote w:id="47">
    <w:p>
      <w:pPr>
        <w:pStyle w:val="FootnoteText"/>
      </w:pPr>
      <w:r>
        <w:rPr>
          <w:rStyle w:val="FootnoteReference"/>
        </w:rPr>
        <w:footnoteRef/>
      </w:r>
      <w:r>
        <w:t xml:space="preserve"> </w:t>
      </w:r>
      <w:r>
        <w:t xml:space="preserve">Kitáb-i-Aqdas #47</w:t>
      </w:r>
    </w:p>
  </w:footnote>
  <w:footnote w:id="50">
    <w:p>
      <w:pPr>
        <w:pStyle w:val="FootnoteText"/>
      </w:pPr>
      <w:r>
        <w:rPr>
          <w:rStyle w:val="FootnoteReference"/>
        </w:rPr>
        <w:footnoteRef/>
      </w:r>
      <w:r>
        <w:t xml:space="preserve"> </w:t>
      </w:r>
      <w:r>
        <w:t xml:space="preserve">Kitáb-i-Aqdas #125</w:t>
      </w:r>
    </w:p>
  </w:footnote>
  <w:footnote w:id="51">
    <w:p>
      <w:pPr>
        <w:pStyle w:val="FootnoteText"/>
      </w:pPr>
      <w:r>
        <w:rPr>
          <w:rStyle w:val="FootnoteReference"/>
        </w:rPr>
        <w:footnoteRef/>
      </w:r>
      <w:r>
        <w:t xml:space="preserve"> </w:t>
      </w:r>
      <w:r>
        <w:t xml:space="preserve">Persian Bayán, Váḥid 2 Gate 3</w:t>
      </w:r>
    </w:p>
  </w:footnote>
  <w:footnote w:id="52">
    <w:p>
      <w:pPr>
        <w:pStyle w:val="FootnoteText"/>
      </w:pPr>
      <w:r>
        <w:rPr>
          <w:rStyle w:val="FootnoteReference"/>
        </w:rPr>
        <w:footnoteRef/>
      </w:r>
      <w:r>
        <w:t xml:space="preserve"> </w:t>
      </w:r>
      <w:r>
        <w:t xml:space="preserve">Kitáb-i-Aqdas #138</w:t>
      </w:r>
    </w:p>
  </w:footnote>
  <w:footnote w:id="53">
    <w:p>
      <w:pPr>
        <w:pStyle w:val="FootnoteText"/>
      </w:pPr>
      <w:r>
        <w:rPr>
          <w:rStyle w:val="FootnoteReference"/>
        </w:rPr>
        <w:footnoteRef/>
      </w:r>
      <w:r>
        <w:t xml:space="preserve"> </w:t>
      </w:r>
      <w:r>
        <w:t xml:space="preserve">Lawḥ-i-Siráj</w:t>
      </w:r>
    </w:p>
  </w:footnote>
  <w:footnote w:id="55">
    <w:p>
      <w:pPr>
        <w:pStyle w:val="FootnoteText"/>
      </w:pPr>
      <w:r>
        <w:rPr>
          <w:rStyle w:val="FootnoteReference"/>
        </w:rPr>
        <w:footnoteRef/>
      </w:r>
      <w:r>
        <w:t xml:space="preserve"> </w:t>
      </w:r>
      <w:r>
        <w:t xml:space="preserve">Kitáb-i-Aqdas #158</w:t>
      </w:r>
    </w:p>
  </w:footnote>
  <w:footnote w:id="56">
    <w:p>
      <w:pPr>
        <w:pStyle w:val="FootnoteText"/>
      </w:pPr>
      <w:r>
        <w:rPr>
          <w:rStyle w:val="FootnoteReference"/>
        </w:rPr>
        <w:footnoteRef/>
      </w:r>
      <w:r>
        <w:t xml:space="preserve"> </w:t>
      </w:r>
      <w:r>
        <w:t xml:space="preserve">Kitáb-i-Aqdas #111</w:t>
      </w:r>
    </w:p>
  </w:footnote>
  <w:footnote w:id="57">
    <w:p>
      <w:pPr>
        <w:pStyle w:val="FootnoteText"/>
      </w:pPr>
      <w:r>
        <w:rPr>
          <w:rStyle w:val="FootnoteReference"/>
        </w:rPr>
        <w:footnoteRef/>
      </w:r>
      <w:r>
        <w:t xml:space="preserve"> </w:t>
      </w:r>
      <w:r>
        <w:t xml:space="preserve">Lawḥ-i-Aqdas</w:t>
      </w:r>
    </w:p>
  </w:footnote>
  <w:footnote w:id="58">
    <w:p>
      <w:pPr>
        <w:pStyle w:val="FootnoteText"/>
      </w:pPr>
      <w:r>
        <w:rPr>
          <w:rStyle w:val="FootnoteReference"/>
        </w:rPr>
        <w:footnoteRef/>
      </w:r>
      <w:r>
        <w:t xml:space="preserve"> </w:t>
      </w:r>
      <w:r>
        <w:t xml:space="preserve">Súríy-i-Haykal #167</w:t>
      </w:r>
    </w:p>
  </w:footnote>
  <w:footnote w:id="64">
    <w:p>
      <w:pPr>
        <w:pStyle w:val="FootnoteText"/>
      </w:pPr>
      <w:r>
        <w:rPr>
          <w:rStyle w:val="FootnoteReference"/>
        </w:rPr>
        <w:footnoteRef/>
      </w:r>
      <w:r>
        <w:t xml:space="preserve"> </w:t>
      </w:r>
      <w:r>
        <w:t xml:space="preserve">Kitáb-i-Aqdas #148</w:t>
      </w:r>
    </w:p>
  </w:footnote>
  <w:footnote w:id="65">
    <w:p>
      <w:pPr>
        <w:pStyle w:val="FootnoteText"/>
      </w:pPr>
      <w:r>
        <w:rPr>
          <w:rStyle w:val="FootnoteReference"/>
        </w:rPr>
        <w:footnoteRef/>
      </w:r>
      <w:r>
        <w:t xml:space="preserve"> </w:t>
      </w:r>
      <w:r>
        <w:t xml:space="preserve">Tablet of the Light Verses and Disjointed Letters</w:t>
      </w:r>
    </w:p>
  </w:footnote>
  <w:footnote w:id="66">
    <w:p>
      <w:pPr>
        <w:pStyle w:val="FootnoteText"/>
      </w:pPr>
      <w:r>
        <w:rPr>
          <w:rStyle w:val="FootnoteReference"/>
        </w:rPr>
        <w:footnoteRef/>
      </w:r>
      <w:r>
        <w:t xml:space="preserve"> </w:t>
      </w:r>
      <w:r>
        <w:t xml:space="preserve">Kitáb-i-Aqdas #74</w:t>
      </w:r>
    </w:p>
  </w:footnote>
  <w:footnote w:id="67">
    <w:p>
      <w:pPr>
        <w:pStyle w:val="FootnoteText"/>
      </w:pPr>
      <w:r>
        <w:rPr>
          <w:rStyle w:val="FootnoteReference"/>
        </w:rPr>
        <w:footnoteRef/>
      </w:r>
      <w:r>
        <w:t xml:space="preserve"> </w:t>
      </w:r>
      <w:r>
        <w:t xml:space="preserve">Kitáb-i-Aqdas #73</w:t>
      </w:r>
    </w:p>
  </w:footnote>
  <w:footnote w:id="68">
    <w:p>
      <w:pPr>
        <w:pStyle w:val="FootnoteText"/>
      </w:pPr>
      <w:r>
        <w:rPr>
          <w:rStyle w:val="FootnoteReference"/>
        </w:rPr>
        <w:footnoteRef/>
      </w:r>
      <w:r>
        <w:t xml:space="preserve"> </w:t>
      </w:r>
      <w:r>
        <w:t xml:space="preserve">Kitáb-i-Aqdas #158</w:t>
      </w:r>
    </w:p>
  </w:footnote>
  <w:footnote w:id="69">
    <w:p>
      <w:pPr>
        <w:pStyle w:val="FootnoteText"/>
      </w:pPr>
      <w:r>
        <w:rPr>
          <w:rStyle w:val="FootnoteReference"/>
        </w:rPr>
        <w:footnoteRef/>
      </w:r>
      <w:r>
        <w:t xml:space="preserve"> </w:t>
      </w:r>
      <w:r>
        <w:t xml:space="preserve">Suriy-i-Rais (Tablet to the Chief) - This tablet provides a very good sermon about the nature of the soul</w:t>
      </w:r>
    </w:p>
  </w:footnote>
  <w:footnote w:id="70">
    <w:p>
      <w:pPr>
        <w:pStyle w:val="FootnoteText"/>
      </w:pPr>
      <w:r>
        <w:rPr>
          <w:rStyle w:val="FootnoteReference"/>
        </w:rPr>
        <w:footnoteRef/>
      </w:r>
      <w:r>
        <w:t xml:space="preserve"> </w:t>
      </w:r>
      <w:r>
        <w:t xml:space="preserve">Suriy-i-Rais</w:t>
      </w:r>
    </w:p>
  </w:footnote>
  <w:footnote w:id="71">
    <w:p>
      <w:pPr>
        <w:pStyle w:val="FootnoteText"/>
      </w:pPr>
      <w:r>
        <w:rPr>
          <w:rStyle w:val="FootnoteReference"/>
        </w:rPr>
        <w:footnoteRef/>
      </w:r>
      <w:r>
        <w:t xml:space="preserve"> </w:t>
      </w:r>
      <w:r>
        <w:t xml:space="preserve">Kitáb-i-Aqdas #72</w:t>
      </w:r>
    </w:p>
  </w:footnote>
  <w:footnote w:id="72">
    <w:p>
      <w:pPr>
        <w:pStyle w:val="FootnoteText"/>
      </w:pPr>
      <w:r>
        <w:rPr>
          <w:rStyle w:val="FootnoteReference"/>
        </w:rPr>
        <w:footnoteRef/>
      </w:r>
      <w:r>
        <w:t xml:space="preserve"> </w:t>
      </w:r>
      <w:r>
        <w:t xml:space="preserve">Kitáb-i-Badí‘ - This book offers an in-depth explanation of what it means to be a mirror</w:t>
      </w:r>
    </w:p>
  </w:footnote>
  <w:footnote w:id="73">
    <w:p>
      <w:pPr>
        <w:pStyle w:val="FootnoteText"/>
      </w:pPr>
      <w:r>
        <w:rPr>
          <w:rStyle w:val="FootnoteReference"/>
        </w:rPr>
        <w:footnoteRef/>
      </w:r>
      <w:r>
        <w:t xml:space="preserve"> </w:t>
      </w:r>
      <w:r>
        <w:t xml:space="preserve">Kitáb-i-Íqán (Book of Certitude) - Another great source about the potentials of the soul</w:t>
      </w:r>
    </w:p>
  </w:footnote>
  <w:footnote w:id="74">
    <w:p>
      <w:pPr>
        <w:pStyle w:val="FootnoteText"/>
      </w:pPr>
      <w:r>
        <w:rPr>
          <w:rStyle w:val="FootnoteReference"/>
        </w:rPr>
        <w:footnoteRef/>
      </w:r>
      <w:r>
        <w:t xml:space="preserve"> </w:t>
      </w:r>
      <w:r>
        <w:t xml:space="preserve">The Qur’an:</w:t>
      </w:r>
      <w:r>
        <w:t xml:space="preserve"> </w:t>
      </w:r>
      <w:r>
        <w:t xml:space="preserve">“</w:t>
      </w:r>
      <w:r>
        <w:t xml:space="preserve">We shall show them Our signs in the horizons and within themselves until it becomes clear to them that it is the truth.</w:t>
      </w:r>
      <w:r>
        <w:t xml:space="preserve">”</w:t>
      </w:r>
      <w:r>
        <w:t xml:space="preserve"> </w:t>
      </w:r>
      <w:r>
        <w:t xml:space="preserve">Also repeated in the Persian Bayán, the Seven Valleys, and the Kitáb-i-Íqán.</w:t>
      </w:r>
    </w:p>
  </w:footnote>
  <w:footnote w:id="76">
    <w:p>
      <w:pPr>
        <w:pStyle w:val="FootnoteText"/>
      </w:pPr>
      <w:r>
        <w:rPr>
          <w:rStyle w:val="FootnoteReference"/>
        </w:rPr>
        <w:footnoteRef/>
      </w:r>
      <w:r>
        <w:t xml:space="preserve"> </w:t>
      </w:r>
      <w:r>
        <w:t xml:space="preserve">Kitáb-i-Aqdas #96</w:t>
      </w:r>
    </w:p>
  </w:footnote>
  <w:footnote w:id="77">
    <w:p>
      <w:pPr>
        <w:pStyle w:val="FootnoteText"/>
      </w:pPr>
      <w:r>
        <w:rPr>
          <w:rStyle w:val="FootnoteReference"/>
        </w:rPr>
        <w:footnoteRef/>
      </w:r>
      <w:r>
        <w:t xml:space="preserve"> </w:t>
      </w:r>
      <w:r>
        <w:t xml:space="preserve">Kitáb-i-Aqdas #120</w:t>
      </w:r>
    </w:p>
  </w:footnote>
  <w:footnote w:id="78">
    <w:p>
      <w:pPr>
        <w:pStyle w:val="FootnoteText"/>
      </w:pPr>
      <w:r>
        <w:rPr>
          <w:rStyle w:val="FootnoteReference"/>
        </w:rPr>
        <w:footnoteRef/>
      </w:r>
      <w:r>
        <w:t xml:space="preserve"> </w:t>
      </w:r>
      <w:r>
        <w:t xml:space="preserve">The Arabic Hidden Words #13</w:t>
      </w:r>
    </w:p>
  </w:footnote>
  <w:footnote w:id="79">
    <w:p>
      <w:pPr>
        <w:pStyle w:val="FootnoteText"/>
      </w:pPr>
      <w:r>
        <w:rPr>
          <w:rStyle w:val="FootnoteReference"/>
        </w:rPr>
        <w:footnoteRef/>
      </w:r>
      <w:r>
        <w:t xml:space="preserve"> </w:t>
      </w:r>
      <w:r>
        <w:t xml:space="preserve">Persian Bayán, Vahid 1 Gate 2</w:t>
      </w:r>
    </w:p>
  </w:footnote>
  <w:footnote w:id="80">
    <w:p>
      <w:pPr>
        <w:pStyle w:val="FootnoteText"/>
      </w:pPr>
      <w:r>
        <w:rPr>
          <w:rStyle w:val="FootnoteReference"/>
        </w:rPr>
        <w:footnoteRef/>
      </w:r>
      <w:r>
        <w:t xml:space="preserve"> </w:t>
      </w:r>
      <w:r>
        <w:t xml:space="preserve">Persian Bayán, Vahid 5, Gate 14</w:t>
      </w:r>
    </w:p>
  </w:footnote>
  <w:footnote w:id="81">
    <w:p>
      <w:pPr>
        <w:pStyle w:val="FootnoteText"/>
      </w:pPr>
      <w:r>
        <w:rPr>
          <w:rStyle w:val="FootnoteReference"/>
        </w:rPr>
        <w:footnoteRef/>
      </w:r>
      <w:r>
        <w:t xml:space="preserve"> </w:t>
      </w:r>
      <w:r>
        <w:t xml:space="preserve">Kitáb-i-Aqdas #176</w:t>
      </w:r>
    </w:p>
  </w:footnote>
  <w:footnote w:id="82">
    <w:p>
      <w:pPr>
        <w:pStyle w:val="FootnoteText"/>
      </w:pPr>
      <w:r>
        <w:rPr>
          <w:rStyle w:val="FootnoteReference"/>
        </w:rPr>
        <w:footnoteRef/>
      </w:r>
      <w:r>
        <w:t xml:space="preserve"> </w:t>
      </w:r>
      <w:r>
        <w:t xml:space="preserve">Kitáb-i-Íqán</w:t>
      </w:r>
    </w:p>
  </w:footnote>
  <w:footnote w:id="84">
    <w:p>
      <w:pPr>
        <w:pStyle w:val="FootnoteText"/>
      </w:pPr>
      <w:r>
        <w:rPr>
          <w:rStyle w:val="FootnoteReference"/>
        </w:rPr>
        <w:footnoteRef/>
      </w:r>
      <w:r>
        <w:t xml:space="preserve"> </w:t>
      </w:r>
      <w:r>
        <w:t xml:space="preserve">Kitáb-i-Aqdas #119</w:t>
      </w:r>
    </w:p>
  </w:footnote>
  <w:footnote w:id="85">
    <w:p>
      <w:pPr>
        <w:pStyle w:val="FootnoteText"/>
      </w:pPr>
      <w:r>
        <w:rPr>
          <w:rStyle w:val="FootnoteReference"/>
        </w:rPr>
        <w:footnoteRef/>
      </w:r>
      <w:r>
        <w:t xml:space="preserve"> </w:t>
      </w:r>
      <w:r>
        <w:t xml:space="preserve">Lawḥ-i-Dunyá (Tablet of the World)</w:t>
      </w:r>
    </w:p>
  </w:footnote>
  <w:footnote w:id="86">
    <w:p>
      <w:pPr>
        <w:pStyle w:val="FootnoteText"/>
      </w:pPr>
      <w:r>
        <w:rPr>
          <w:rStyle w:val="FootnoteReference"/>
        </w:rPr>
        <w:footnoteRef/>
      </w:r>
      <w:r>
        <w:t xml:space="preserve"> </w:t>
      </w:r>
      <w:r>
        <w:t xml:space="preserve">Kitáb-i-Aqdas #72</w:t>
      </w:r>
    </w:p>
  </w:footnote>
  <w:footnote w:id="87">
    <w:p>
      <w:pPr>
        <w:pStyle w:val="FootnoteText"/>
      </w:pPr>
      <w:r>
        <w:rPr>
          <w:rStyle w:val="FootnoteReference"/>
        </w:rPr>
        <w:footnoteRef/>
      </w:r>
      <w:r>
        <w:t xml:space="preserve"> </w:t>
      </w:r>
      <w:r>
        <w:t xml:space="preserve">Kitáb-i-Aqdas #125</w:t>
      </w:r>
    </w:p>
  </w:footnote>
  <w:footnote w:id="88">
    <w:p>
      <w:pPr>
        <w:pStyle w:val="FootnoteText"/>
      </w:pPr>
      <w:r>
        <w:rPr>
          <w:rStyle w:val="FootnoteReference"/>
        </w:rPr>
        <w:footnoteRef/>
      </w:r>
      <w:r>
        <w:t xml:space="preserve"> </w:t>
      </w:r>
      <w:r>
        <w:t xml:space="preserve">Kitáb-i-Aqdas #120</w:t>
      </w:r>
    </w:p>
  </w:footnote>
  <w:footnote w:id="90">
    <w:p>
      <w:pPr>
        <w:pStyle w:val="FootnoteText"/>
      </w:pPr>
      <w:r>
        <w:rPr>
          <w:rStyle w:val="FootnoteReference"/>
        </w:rPr>
        <w:footnoteRef/>
      </w:r>
      <w:r>
        <w:t xml:space="preserve"> </w:t>
      </w:r>
      <w:r>
        <w:t xml:space="preserve">Kitáb-i-Aqdas #148</w:t>
      </w:r>
    </w:p>
  </w:footnote>
  <w:footnote w:id="91">
    <w:p>
      <w:pPr>
        <w:pStyle w:val="FootnoteText"/>
      </w:pPr>
      <w:r>
        <w:rPr>
          <w:rStyle w:val="FootnoteReference"/>
        </w:rPr>
        <w:footnoteRef/>
      </w:r>
      <w:r>
        <w:t xml:space="preserve"> </w:t>
      </w:r>
      <w:r>
        <w:t xml:space="preserve">Kitáb-i-Aqdas #97</w:t>
      </w:r>
    </w:p>
  </w:footnote>
  <w:footnote w:id="92">
    <w:p>
      <w:pPr>
        <w:pStyle w:val="FootnoteText"/>
      </w:pPr>
      <w:r>
        <w:rPr>
          <w:rStyle w:val="FootnoteReference"/>
        </w:rPr>
        <w:footnoteRef/>
      </w:r>
      <w:r>
        <w:t xml:space="preserve"> </w:t>
      </w:r>
      <w:r>
        <w:t xml:space="preserve">Haft Vadi (The Seven Valleys)</w:t>
      </w:r>
    </w:p>
  </w:footnote>
  <w:footnote w:id="93">
    <w:p>
      <w:pPr>
        <w:pStyle w:val="FootnoteText"/>
      </w:pPr>
      <w:r>
        <w:rPr>
          <w:rStyle w:val="FootnoteReference"/>
        </w:rPr>
        <w:footnoteRef/>
      </w:r>
      <w:r>
        <w:t xml:space="preserve"> </w:t>
      </w:r>
      <w:r>
        <w:t xml:space="preserve">Kitáb-i-Aqdas #84</w:t>
      </w:r>
    </w:p>
  </w:footnote>
  <w:footnote w:id="94">
    <w:p>
      <w:pPr>
        <w:pStyle w:val="FootnoteText"/>
      </w:pPr>
      <w:r>
        <w:rPr>
          <w:rStyle w:val="FootnoteReference"/>
        </w:rPr>
        <w:footnoteRef/>
      </w:r>
      <w:r>
        <w:t xml:space="preserve"> </w:t>
      </w:r>
      <w:r>
        <w:t xml:space="preserve">BH00093 (Letters to the Land of Kha)</w:t>
      </w:r>
    </w:p>
  </w:footnote>
  <w:footnote w:id="98">
    <w:p>
      <w:pPr>
        <w:pStyle w:val="FootnoteText"/>
      </w:pPr>
      <w:r>
        <w:rPr>
          <w:rStyle w:val="FootnoteReference"/>
        </w:rPr>
        <w:footnoteRef/>
      </w:r>
      <w:r>
        <w:t xml:space="preserve"> </w:t>
      </w:r>
      <w:r>
        <w:t xml:space="preserve">Kitáb-i-Aqdas #39</w:t>
      </w:r>
    </w:p>
  </w:footnote>
  <w:footnote w:id="99">
    <w:p>
      <w:pPr>
        <w:pStyle w:val="FootnoteText"/>
      </w:pPr>
      <w:r>
        <w:rPr>
          <w:rStyle w:val="FootnoteReference"/>
        </w:rPr>
        <w:footnoteRef/>
      </w:r>
      <w:r>
        <w:t xml:space="preserve"> </w:t>
      </w:r>
      <w:r>
        <w:t xml:space="preserve">Kitáb-i-Aqdas #116</w:t>
      </w:r>
    </w:p>
  </w:footnote>
  <w:footnote w:id="100">
    <w:p>
      <w:pPr>
        <w:pStyle w:val="FootnoteText"/>
      </w:pPr>
      <w:r>
        <w:rPr>
          <w:rStyle w:val="FootnoteReference"/>
        </w:rPr>
        <w:footnoteRef/>
      </w:r>
      <w:r>
        <w:t xml:space="preserve"> </w:t>
      </w:r>
      <w:r>
        <w:t xml:space="preserve">Kitáb-i-Aqdas #55</w:t>
      </w:r>
    </w:p>
  </w:footnote>
  <w:footnote w:id="101">
    <w:p>
      <w:pPr>
        <w:pStyle w:val="FootnoteText"/>
      </w:pPr>
      <w:r>
        <w:rPr>
          <w:rStyle w:val="FootnoteReference"/>
        </w:rPr>
        <w:footnoteRef/>
      </w:r>
      <w:r>
        <w:t xml:space="preserve"> </w:t>
      </w:r>
      <w:r>
        <w:t xml:space="preserve">Kitáb-i-Aqdas #55</w:t>
      </w:r>
    </w:p>
  </w:footnote>
  <w:footnote w:id="102">
    <w:p>
      <w:pPr>
        <w:pStyle w:val="FootnoteText"/>
      </w:pPr>
      <w:r>
        <w:rPr>
          <w:rStyle w:val="FootnoteReference"/>
        </w:rPr>
        <w:footnoteRef/>
      </w:r>
      <w:r>
        <w:t xml:space="preserve"> </w:t>
      </w:r>
      <w:r>
        <w:t xml:space="preserve">Kitáb-i-Aqdas #83</w:t>
      </w:r>
    </w:p>
  </w:footnote>
  <w:footnote w:id="103">
    <w:p>
      <w:pPr>
        <w:pStyle w:val="FootnoteText"/>
      </w:pPr>
      <w:r>
        <w:rPr>
          <w:rStyle w:val="FootnoteReference"/>
        </w:rPr>
        <w:footnoteRef/>
      </w:r>
      <w:r>
        <w:t xml:space="preserve"> </w:t>
      </w:r>
      <w:r>
        <w:t xml:space="preserve">Tafsír-i-Hú (Interpretation of the Name He)</w:t>
      </w:r>
    </w:p>
  </w:footnote>
  <w:footnote w:id="104">
    <w:p>
      <w:pPr>
        <w:pStyle w:val="FootnoteText"/>
      </w:pPr>
      <w:r>
        <w:rPr>
          <w:rStyle w:val="FootnoteReference"/>
        </w:rPr>
        <w:footnoteRef/>
      </w:r>
      <w:r>
        <w:t xml:space="preserve"> </w:t>
      </w:r>
      <w:r>
        <w:t xml:space="preserve">Kitáb-i-Aqdas #79</w:t>
      </w:r>
    </w:p>
  </w:footnote>
  <w:footnote w:id="105">
    <w:p>
      <w:pPr>
        <w:pStyle w:val="FootnoteText"/>
      </w:pPr>
      <w:r>
        <w:rPr>
          <w:rStyle w:val="FootnoteReference"/>
        </w:rPr>
        <w:footnoteRef/>
      </w:r>
      <w:r>
        <w:t xml:space="preserve"> </w:t>
      </w:r>
      <w:r>
        <w:t xml:space="preserve">Kitáb-i-Aqdas #91</w:t>
      </w:r>
    </w:p>
  </w:footnote>
  <w:footnote w:id="107">
    <w:p>
      <w:pPr>
        <w:pStyle w:val="FootnoteText"/>
      </w:pPr>
      <w:r>
        <w:rPr>
          <w:rStyle w:val="FootnoteReference"/>
        </w:rPr>
        <w:footnoteRef/>
      </w:r>
      <w:r>
        <w:t xml:space="preserve"> </w:t>
      </w:r>
      <w:r>
        <w:t xml:space="preserve">Kitáb-i-Aqdas #132</w:t>
      </w:r>
    </w:p>
  </w:footnote>
  <w:footnote w:id="108">
    <w:p>
      <w:pPr>
        <w:pStyle w:val="FootnoteText"/>
      </w:pPr>
      <w:r>
        <w:rPr>
          <w:rStyle w:val="FootnoteReference"/>
        </w:rPr>
        <w:footnoteRef/>
      </w:r>
      <w:r>
        <w:t xml:space="preserve"> </w:t>
      </w:r>
      <w:r>
        <w:t xml:space="preserve">Gems of Divine Mysteries</w:t>
      </w:r>
    </w:p>
  </w:footnote>
  <w:footnote w:id="109">
    <w:p>
      <w:pPr>
        <w:pStyle w:val="FootnoteText"/>
      </w:pPr>
      <w:r>
        <w:rPr>
          <w:rStyle w:val="FootnoteReference"/>
        </w:rPr>
        <w:footnoteRef/>
      </w:r>
      <w:r>
        <w:t xml:space="preserve"> </w:t>
      </w:r>
      <w:r>
        <w:t xml:space="preserve">Kitáb-i-Aqdas #176</w:t>
      </w:r>
    </w:p>
  </w:footnote>
  <w:footnote w:id="110">
    <w:p>
      <w:pPr>
        <w:pStyle w:val="FootnoteText"/>
      </w:pPr>
      <w:r>
        <w:rPr>
          <w:rStyle w:val="FootnoteReference"/>
        </w:rPr>
        <w:footnoteRef/>
      </w:r>
      <w:r>
        <w:t xml:space="preserve"> </w:t>
      </w:r>
      <w:r>
        <w:t xml:space="preserve">Kitáb-i-Aqdas #177</w:t>
      </w:r>
    </w:p>
  </w:footnote>
  <w:footnote w:id="113">
    <w:p>
      <w:pPr>
        <w:pStyle w:val="FootnoteText"/>
      </w:pPr>
      <w:r>
        <w:rPr>
          <w:rStyle w:val="FootnoteReference"/>
        </w:rPr>
        <w:footnoteRef/>
      </w:r>
      <w:r>
        <w:t xml:space="preserve"> </w:t>
      </w:r>
      <w:r>
        <w:t xml:space="preserve">Persian Bayán, Váḥid 2, Gate 12</w:t>
      </w:r>
    </w:p>
  </w:footnote>
  <w:footnote w:id="114">
    <w:p>
      <w:pPr>
        <w:pStyle w:val="FootnoteText"/>
      </w:pPr>
      <w:r>
        <w:rPr>
          <w:rStyle w:val="FootnoteReference"/>
        </w:rPr>
        <w:footnoteRef/>
      </w:r>
      <w:r>
        <w:t xml:space="preserve"> </w:t>
      </w:r>
      <w:r>
        <w:t xml:space="preserve">Kitáb-i-Aqdas #55</w:t>
      </w:r>
    </w:p>
  </w:footnote>
  <w:footnote w:id="115">
    <w:p>
      <w:pPr>
        <w:pStyle w:val="FootnoteText"/>
      </w:pPr>
      <w:r>
        <w:rPr>
          <w:rStyle w:val="FootnoteReference"/>
        </w:rPr>
        <w:footnoteRef/>
      </w:r>
      <w:r>
        <w:t xml:space="preserve"> </w:t>
      </w:r>
      <w:r>
        <w:t xml:space="preserve">Kitáb-i-Aqdas #64 and #105</w:t>
      </w:r>
    </w:p>
  </w:footnote>
  <w:footnote w:id="116">
    <w:p>
      <w:pPr>
        <w:pStyle w:val="FootnoteText"/>
      </w:pPr>
      <w:r>
        <w:rPr>
          <w:rStyle w:val="FootnoteReference"/>
        </w:rPr>
        <w:footnoteRef/>
      </w:r>
      <w:r>
        <w:t xml:space="preserve"> </w:t>
      </w:r>
      <w:r>
        <w:t xml:space="preserve">Súríy-i-Vafá</w:t>
      </w:r>
    </w:p>
  </w:footnote>
  <w:footnote w:id="117">
    <w:p>
      <w:pPr>
        <w:pStyle w:val="FootnoteText"/>
      </w:pPr>
      <w:r>
        <w:rPr>
          <w:rStyle w:val="FootnoteReference"/>
        </w:rPr>
        <w:footnoteRef/>
      </w:r>
      <w:r>
        <w:t xml:space="preserve"> </w:t>
      </w:r>
      <w:r>
        <w:t xml:space="preserve">The Hidden Words of Arabic #6</w:t>
      </w:r>
    </w:p>
  </w:footnote>
  <w:footnote w:id="118">
    <w:p>
      <w:pPr>
        <w:pStyle w:val="FootnoteText"/>
      </w:pPr>
      <w:r>
        <w:rPr>
          <w:rStyle w:val="FootnoteReference"/>
        </w:rPr>
        <w:footnoteRef/>
      </w:r>
      <w:r>
        <w:t xml:space="preserve"> </w:t>
      </w:r>
      <w:r>
        <w:t xml:space="preserve">Kitáb-i-Aqdas #116, #150, #160</w:t>
      </w:r>
    </w:p>
  </w:footnote>
  <w:footnote w:id="119">
    <w:p>
      <w:pPr>
        <w:pStyle w:val="FootnoteText"/>
      </w:pPr>
      <w:r>
        <w:rPr>
          <w:rStyle w:val="FootnoteReference"/>
        </w:rPr>
        <w:footnoteRef/>
      </w:r>
      <w:r>
        <w:t xml:space="preserve"> </w:t>
      </w:r>
      <w:r>
        <w:t xml:space="preserve">The Words of Paradise</w:t>
      </w:r>
    </w:p>
  </w:footnote>
  <w:footnote w:id="121">
    <w:p>
      <w:pPr>
        <w:pStyle w:val="FootnoteText"/>
      </w:pPr>
      <w:r>
        <w:rPr>
          <w:rStyle w:val="FootnoteReference"/>
        </w:rPr>
        <w:footnoteRef/>
      </w:r>
      <w:r>
        <w:t xml:space="preserve"> </w:t>
      </w:r>
      <w:r>
        <w:t xml:space="preserve">The Persian Hidden Words #71</w:t>
      </w:r>
    </w:p>
  </w:footnote>
  <w:footnote w:id="122">
    <w:p>
      <w:pPr>
        <w:pStyle w:val="FootnoteText"/>
      </w:pPr>
      <w:r>
        <w:rPr>
          <w:rStyle w:val="FootnoteReference"/>
        </w:rPr>
        <w:footnoteRef/>
      </w:r>
      <w:r>
        <w:t xml:space="preserve"> </w:t>
      </w:r>
      <w:r>
        <w:t xml:space="preserve">BH00230 (Unnamed Writing)</w:t>
      </w:r>
    </w:p>
  </w:footnote>
  <w:footnote w:id="123">
    <w:p>
      <w:pPr>
        <w:pStyle w:val="FootnoteText"/>
      </w:pPr>
      <w:r>
        <w:rPr>
          <w:rStyle w:val="FootnoteReference"/>
        </w:rPr>
        <w:footnoteRef/>
      </w:r>
      <w:r>
        <w:t xml:space="preserve"> </w:t>
      </w:r>
      <w:r>
        <w:t xml:space="preserve">Kitáb-i-Aqdas #89</w:t>
      </w:r>
    </w:p>
  </w:footnote>
  <w:footnote w:id="124">
    <w:p>
      <w:pPr>
        <w:pStyle w:val="FootnoteText"/>
      </w:pPr>
      <w:r>
        <w:rPr>
          <w:rStyle w:val="FootnoteReference"/>
        </w:rPr>
        <w:footnoteRef/>
      </w:r>
      <w:r>
        <w:t xml:space="preserve"> </w:t>
      </w:r>
      <w:r>
        <w:t xml:space="preserve">Kitáb-i-Aqdas #132</w:t>
      </w:r>
    </w:p>
  </w:footnote>
  <w:footnote w:id="125">
    <w:p>
      <w:pPr>
        <w:pStyle w:val="FootnoteText"/>
      </w:pPr>
      <w:r>
        <w:rPr>
          <w:rStyle w:val="FootnoteReference"/>
        </w:rPr>
        <w:footnoteRef/>
      </w:r>
      <w:r>
        <w:t xml:space="preserve"> </w:t>
      </w:r>
      <w:r>
        <w:t xml:space="preserve">Kitáb-i-Aqdas #53</w:t>
      </w:r>
    </w:p>
  </w:footnote>
  <w:footnote w:id="126">
    <w:p>
      <w:pPr>
        <w:pStyle w:val="FootnoteText"/>
      </w:pPr>
      <w:r>
        <w:rPr>
          <w:rStyle w:val="FootnoteReference"/>
        </w:rPr>
        <w:footnoteRef/>
      </w:r>
      <w:r>
        <w:t xml:space="preserve"> </w:t>
      </w:r>
      <w:r>
        <w:t xml:space="preserve">Surah of Our Name The Messenger</w:t>
      </w:r>
    </w:p>
  </w:footnote>
  <w:footnote w:id="127">
    <w:p>
      <w:pPr>
        <w:pStyle w:val="FootnoteText"/>
      </w:pPr>
      <w:r>
        <w:rPr>
          <w:rStyle w:val="FootnoteReference"/>
        </w:rPr>
        <w:footnoteRef/>
      </w:r>
      <w:r>
        <w:t xml:space="preserve"> </w:t>
      </w:r>
      <w:r>
        <w:t xml:space="preserve">Tablet of the Birth</w:t>
      </w:r>
    </w:p>
  </w:footnote>
  <w:footnote w:id="128">
    <w:p>
      <w:pPr>
        <w:pStyle w:val="FootnoteText"/>
      </w:pPr>
      <w:r>
        <w:rPr>
          <w:rStyle w:val="FootnoteReference"/>
        </w:rPr>
        <w:footnoteRef/>
      </w:r>
      <w:r>
        <w:t xml:space="preserve"> </w:t>
      </w:r>
      <w:r>
        <w:t xml:space="preserve">Kitáb-i-Íqán (Book of Certitude)</w:t>
      </w:r>
    </w:p>
  </w:footnote>
  <w:footnote w:id="129">
    <w:p>
      <w:pPr>
        <w:pStyle w:val="FootnoteText"/>
      </w:pPr>
      <w:r>
        <w:rPr>
          <w:rStyle w:val="FootnoteReference"/>
        </w:rPr>
        <w:footnoteRef/>
      </w:r>
      <w:r>
        <w:t xml:space="preserve"> </w:t>
      </w:r>
      <w:r>
        <w:t xml:space="preserve">Surah Fu’ad</w:t>
      </w:r>
    </w:p>
  </w:footnote>
  <w:footnote w:id="130">
    <w:p>
      <w:pPr>
        <w:pStyle w:val="FootnoteText"/>
      </w:pPr>
      <w:r>
        <w:rPr>
          <w:rStyle w:val="FootnoteReference"/>
        </w:rPr>
        <w:footnoteRef/>
      </w:r>
      <w:r>
        <w:t xml:space="preserve"> </w:t>
      </w:r>
      <w:r>
        <w:t xml:space="preserve">Kitáb-i-Íqán (The Book of Certitude)</w:t>
      </w:r>
    </w:p>
  </w:footnote>
  <w:footnote w:id="132">
    <w:p>
      <w:pPr>
        <w:pStyle w:val="FootnoteText"/>
      </w:pPr>
      <w:r>
        <w:rPr>
          <w:rStyle w:val="FootnoteReference"/>
        </w:rPr>
        <w:footnoteRef/>
      </w:r>
      <w:r>
        <w:t xml:space="preserve"> </w:t>
      </w:r>
      <w:r>
        <w:t xml:space="preserve">Kitáb-i-Aqdas #100</w:t>
      </w:r>
    </w:p>
  </w:footnote>
  <w:footnote w:id="133">
    <w:p>
      <w:pPr>
        <w:pStyle w:val="FootnoteText"/>
      </w:pPr>
      <w:r>
        <w:rPr>
          <w:rStyle w:val="FootnoteReference"/>
        </w:rPr>
        <w:footnoteRef/>
      </w:r>
      <w:r>
        <w:t xml:space="preserve"> </w:t>
      </w:r>
      <w:r>
        <w:t xml:space="preserve">The Tablet of the Branch</w:t>
      </w:r>
    </w:p>
  </w:footnote>
  <w:footnote w:id="134">
    <w:p>
      <w:pPr>
        <w:pStyle w:val="FootnoteText"/>
      </w:pPr>
      <w:r>
        <w:rPr>
          <w:rStyle w:val="FootnoteReference"/>
        </w:rPr>
        <w:footnoteRef/>
      </w:r>
      <w:r>
        <w:t xml:space="preserve"> </w:t>
      </w:r>
      <w:r>
        <w:t xml:space="preserve">Kitáb-i-Aqdas #117</w:t>
      </w:r>
    </w:p>
  </w:footnote>
  <w:footnote w:id="135">
    <w:p>
      <w:pPr>
        <w:pStyle w:val="FootnoteText"/>
      </w:pPr>
      <w:r>
        <w:rPr>
          <w:rStyle w:val="FootnoteReference"/>
        </w:rPr>
        <w:footnoteRef/>
      </w:r>
      <w:r>
        <w:t xml:space="preserve"> </w:t>
      </w:r>
      <w:r>
        <w:t xml:space="preserve">Súríy-i-Haykal (Surah of the Temple)</w:t>
      </w:r>
    </w:p>
  </w:footnote>
  <w:footnote w:id="136">
    <w:p>
      <w:pPr>
        <w:pStyle w:val="FootnoteText"/>
      </w:pPr>
      <w:r>
        <w:rPr>
          <w:rStyle w:val="FootnoteReference"/>
        </w:rPr>
        <w:footnoteRef/>
      </w:r>
      <w:r>
        <w:t xml:space="preserve"> </w:t>
      </w:r>
      <w:r>
        <w:t xml:space="preserve">Kitáb-i-Aqdas #103</w:t>
      </w:r>
    </w:p>
  </w:footnote>
  <w:footnote w:id="137">
    <w:p>
      <w:pPr>
        <w:pStyle w:val="FootnoteText"/>
      </w:pPr>
      <w:r>
        <w:rPr>
          <w:rStyle w:val="FootnoteReference"/>
        </w:rPr>
        <w:footnoteRef/>
      </w:r>
      <w:r>
        <w:t xml:space="preserve"> </w:t>
      </w:r>
      <w:r>
        <w:t xml:space="preserve">Súríy-i-Haykal (Surah of the Temple)</w:t>
      </w:r>
    </w:p>
  </w:footnote>
  <w:footnote w:id="138">
    <w:p>
      <w:pPr>
        <w:pStyle w:val="FootnoteText"/>
      </w:pPr>
      <w:r>
        <w:rPr>
          <w:rStyle w:val="FootnoteReference"/>
        </w:rPr>
        <w:footnoteRef/>
      </w:r>
      <w:r>
        <w:t xml:space="preserve"> </w:t>
      </w:r>
      <w:r>
        <w:t xml:space="preserve">Kitáb-i-Aqdas #80</w:t>
      </w:r>
    </w:p>
  </w:footnote>
  <w:footnote w:id="139">
    <w:p>
      <w:pPr>
        <w:pStyle w:val="FootnoteText"/>
      </w:pPr>
      <w:r>
        <w:rPr>
          <w:rStyle w:val="FootnoteReference"/>
        </w:rPr>
        <w:footnoteRef/>
      </w:r>
      <w:r>
        <w:t xml:space="preserve"> </w:t>
      </w:r>
      <w:r>
        <w:t xml:space="preserve">The Persian Hidden Words #58</w:t>
      </w:r>
    </w:p>
  </w:footnote>
  <w:footnote w:id="145">
    <w:p>
      <w:pPr>
        <w:pStyle w:val="FootnoteText"/>
      </w:pPr>
      <w:r>
        <w:rPr>
          <w:rStyle w:val="FootnoteReference"/>
        </w:rPr>
        <w:footnoteRef/>
      </w:r>
      <w:r>
        <w:t xml:space="preserve"> </w:t>
      </w:r>
      <w:r>
        <w:t xml:space="preserve">The Holy Qur’an, Surah Al-Haqqah #5</w:t>
      </w:r>
    </w:p>
  </w:footnote>
  <w:footnote w:id="146">
    <w:p>
      <w:pPr>
        <w:pStyle w:val="FootnoteText"/>
      </w:pPr>
      <w:r>
        <w:rPr>
          <w:rStyle w:val="FootnoteReference"/>
        </w:rPr>
        <w:footnoteRef/>
      </w:r>
      <w:r>
        <w:t xml:space="preserve"> </w:t>
      </w:r>
      <w:r>
        <w:t xml:space="preserve">The Holy Qur’an, Surah Az-Zumar #68</w:t>
      </w:r>
    </w:p>
  </w:footnote>
  <w:footnote w:id="148">
    <w:p>
      <w:pPr>
        <w:pStyle w:val="FootnoteText"/>
      </w:pPr>
      <w:r>
        <w:rPr>
          <w:rStyle w:val="FootnoteReference"/>
        </w:rPr>
        <w:footnoteRef/>
      </w:r>
      <w:r>
        <w:t xml:space="preserve"> </w:t>
      </w:r>
      <w:r>
        <w:t xml:space="preserve">Kitáb-i-Aqdas #167</w:t>
      </w:r>
    </w:p>
  </w:footnote>
  <w:footnote w:id="149">
    <w:p>
      <w:pPr>
        <w:pStyle w:val="FootnoteText"/>
      </w:pPr>
      <w:r>
        <w:rPr>
          <w:rStyle w:val="FootnoteReference"/>
        </w:rPr>
        <w:footnoteRef/>
      </w:r>
      <w:r>
        <w:t xml:space="preserve"> </w:t>
      </w:r>
      <w:r>
        <w:t xml:space="preserve">Kitáb-i-Aqdas #81</w:t>
      </w:r>
    </w:p>
  </w:footnote>
  <w:footnote w:id="150">
    <w:p>
      <w:pPr>
        <w:pStyle w:val="FootnoteText"/>
      </w:pPr>
      <w:r>
        <w:rPr>
          <w:rStyle w:val="FootnoteReference"/>
        </w:rPr>
        <w:footnoteRef/>
      </w:r>
      <w:r>
        <w:t xml:space="preserve"> </w:t>
      </w:r>
      <w:r>
        <w:t xml:space="preserve">Kitáb-i-Aqdas #81</w:t>
      </w:r>
    </w:p>
  </w:footnote>
  <w:footnote w:id="151">
    <w:p>
      <w:pPr>
        <w:pStyle w:val="FootnoteText"/>
      </w:pPr>
      <w:r>
        <w:rPr>
          <w:rStyle w:val="FootnoteReference"/>
        </w:rPr>
        <w:footnoteRef/>
      </w:r>
      <w:r>
        <w:t xml:space="preserve"> </w:t>
      </w:r>
      <w:r>
        <w:t xml:space="preserve">Lawḥ-i-Ishráqát (Tablet of Splendors)</w:t>
      </w:r>
    </w:p>
  </w:footnote>
  <w:footnote w:id="154">
    <w:p>
      <w:pPr>
        <w:pStyle w:val="FootnoteText"/>
      </w:pPr>
      <w:r>
        <w:rPr>
          <w:rStyle w:val="FootnoteReference"/>
        </w:rPr>
        <w:footnoteRef/>
      </w:r>
      <w:r>
        <w:t xml:space="preserve"> </w:t>
      </w:r>
      <w:r>
        <w:t xml:space="preserve">BH00010, Letters to Tehran through ’Alí-Akbar</w:t>
      </w:r>
    </w:p>
  </w:footnote>
  <w:footnote w:id="155">
    <w:p>
      <w:pPr>
        <w:pStyle w:val="FootnoteText"/>
      </w:pPr>
      <w:r>
        <w:rPr>
          <w:rStyle w:val="FootnoteReference"/>
        </w:rPr>
        <w:footnoteRef/>
      </w:r>
      <w:r>
        <w:t xml:space="preserve"> </w:t>
      </w:r>
      <w:r>
        <w:t xml:space="preserve">The Lawḥ-i-Aqdas (Most Holy Tablet) aka Tablet to the Christians</w:t>
      </w:r>
    </w:p>
  </w:footnote>
  <w:footnote w:id="156">
    <w:p>
      <w:pPr>
        <w:pStyle w:val="FootnoteText"/>
      </w:pPr>
      <w:r>
        <w:rPr>
          <w:rStyle w:val="FootnoteReference"/>
        </w:rPr>
        <w:footnoteRef/>
      </w:r>
      <w:r>
        <w:t xml:space="preserve"> </w:t>
      </w:r>
      <w:r>
        <w:t xml:space="preserve">Kitáb-i-Aqdas #163</w:t>
      </w:r>
    </w:p>
  </w:footnote>
  <w:footnote w:id="157">
    <w:p>
      <w:pPr>
        <w:pStyle w:val="FootnoteText"/>
      </w:pPr>
      <w:r>
        <w:rPr>
          <w:rStyle w:val="FootnoteReference"/>
        </w:rPr>
        <w:footnoteRef/>
      </w:r>
      <w:r>
        <w:t xml:space="preserve"> </w:t>
      </w:r>
      <w:r>
        <w:t xml:space="preserve">BH00054: Unnamed Tablet about the annihilation of all things</w:t>
      </w:r>
    </w:p>
  </w:footnote>
  <w:footnote w:id="158">
    <w:p>
      <w:pPr>
        <w:pStyle w:val="FootnoteText"/>
      </w:pPr>
      <w:r>
        <w:rPr>
          <w:rStyle w:val="FootnoteReference"/>
        </w:rPr>
        <w:footnoteRef/>
      </w:r>
      <w:r>
        <w:t xml:space="preserve"> </w:t>
      </w:r>
      <w:r>
        <w:t xml:space="preserve">Súríy-i-Haykal</w:t>
      </w:r>
    </w:p>
  </w:footnote>
  <w:footnote w:id="159">
    <w:p>
      <w:pPr>
        <w:pStyle w:val="FootnoteText"/>
      </w:pPr>
      <w:r>
        <w:rPr>
          <w:rStyle w:val="FootnoteReference"/>
        </w:rPr>
        <w:footnoteRef/>
      </w:r>
      <w:r>
        <w:t xml:space="preserve"> </w:t>
      </w:r>
      <w:r>
        <w:t xml:space="preserve">Kitáb-i-Badí‘</w:t>
      </w:r>
    </w:p>
  </w:footnote>
  <w:footnote w:id="161">
    <w:p>
      <w:pPr>
        <w:pStyle w:val="FootnoteText"/>
      </w:pPr>
      <w:r>
        <w:rPr>
          <w:rStyle w:val="FootnoteReference"/>
        </w:rPr>
        <w:footnoteRef/>
      </w:r>
      <w:r>
        <w:t xml:space="preserve"> </w:t>
      </w:r>
      <w:r>
        <w:t xml:space="preserve">The Epistle to the Son of the Wolf</w:t>
      </w:r>
    </w:p>
  </w:footnote>
  <w:footnote w:id="162">
    <w:p>
      <w:pPr>
        <w:pStyle w:val="FootnoteText"/>
      </w:pPr>
      <w:r>
        <w:rPr>
          <w:rStyle w:val="FootnoteReference"/>
        </w:rPr>
        <w:footnoteRef/>
      </w:r>
      <w:r>
        <w:t xml:space="preserve"> </w:t>
      </w:r>
      <w:r>
        <w:t xml:space="preserve">Súríy-i-Bayán (The Chapter of Paradise)</w:t>
      </w:r>
    </w:p>
  </w:footnote>
  <w:footnote w:id="163">
    <w:p>
      <w:pPr>
        <w:pStyle w:val="FootnoteText"/>
      </w:pPr>
      <w:r>
        <w:rPr>
          <w:rStyle w:val="FootnoteReference"/>
        </w:rPr>
        <w:footnoteRef/>
      </w:r>
      <w:r>
        <w:t xml:space="preserve"> </w:t>
      </w:r>
      <w:r>
        <w:t xml:space="preserve">BH00093 (Letters to Khurásán)</w:t>
      </w:r>
    </w:p>
  </w:footnote>
  <w:footnote w:id="164">
    <w:p>
      <w:pPr>
        <w:pStyle w:val="FootnoteText"/>
      </w:pPr>
      <w:r>
        <w:rPr>
          <w:rStyle w:val="FootnoteReference"/>
        </w:rPr>
        <w:footnoteRef/>
      </w:r>
      <w:r>
        <w:t xml:space="preserve"> </w:t>
      </w:r>
      <w:r>
        <w:t xml:space="preserve">Kitáb-i-Sulṭán</w:t>
      </w:r>
    </w:p>
  </w:footnote>
  <w:footnote w:id="165">
    <w:p>
      <w:pPr>
        <w:pStyle w:val="FootnoteText"/>
      </w:pPr>
      <w:r>
        <w:rPr>
          <w:rStyle w:val="FootnoteReference"/>
        </w:rPr>
        <w:footnoteRef/>
      </w:r>
      <w:r>
        <w:t xml:space="preserve"> </w:t>
      </w:r>
      <w:r>
        <w:t xml:space="preserve">BH00141 (Unnamed Tablet to Abu’l-Ḥasan)</w:t>
      </w:r>
    </w:p>
  </w:footnote>
  <w:footnote w:id="166">
    <w:p>
      <w:pPr>
        <w:pStyle w:val="FootnoteText"/>
      </w:pPr>
      <w:r>
        <w:rPr>
          <w:rStyle w:val="FootnoteReference"/>
        </w:rPr>
        <w:footnoteRef/>
      </w:r>
      <w:r>
        <w:t xml:space="preserve"> </w:t>
      </w:r>
      <w:r>
        <w:t xml:space="preserve">Epistle to the Son of the Wolf</w:t>
      </w:r>
    </w:p>
  </w:footnote>
  <w:footnote w:id="168">
    <w:p>
      <w:pPr>
        <w:pStyle w:val="FootnoteText"/>
      </w:pPr>
      <w:r>
        <w:rPr>
          <w:rStyle w:val="FootnoteReference"/>
        </w:rPr>
        <w:footnoteRef/>
      </w:r>
      <w:r>
        <w:t xml:space="preserve"> </w:t>
      </w:r>
      <w:r>
        <w:t xml:space="preserve">BH00091</w:t>
      </w:r>
    </w:p>
  </w:footnote>
  <w:footnote w:id="169">
    <w:p>
      <w:pPr>
        <w:pStyle w:val="FootnoteText"/>
      </w:pPr>
      <w:r>
        <w:rPr>
          <w:rStyle w:val="FootnoteReference"/>
        </w:rPr>
        <w:footnoteRef/>
      </w:r>
      <w:r>
        <w:t xml:space="preserve"> </w:t>
      </w:r>
      <w:r>
        <w:t xml:space="preserve">BH00141</w:t>
      </w:r>
    </w:p>
  </w:footnote>
  <w:footnote w:id="170">
    <w:p>
      <w:pPr>
        <w:pStyle w:val="FootnoteText"/>
      </w:pPr>
      <w:r>
        <w:rPr>
          <w:rStyle w:val="FootnoteReference"/>
        </w:rPr>
        <w:footnoteRef/>
      </w:r>
      <w:r>
        <w:t xml:space="preserve"> </w:t>
      </w:r>
      <w:r>
        <w:t xml:space="preserve">Súríy-i-Ra’ís (Chapter of the Chief)</w:t>
      </w:r>
    </w:p>
  </w:footnote>
  <w:footnote w:id="171">
    <w:p>
      <w:pPr>
        <w:pStyle w:val="FootnoteText"/>
      </w:pPr>
      <w:r>
        <w:rPr>
          <w:rStyle w:val="FootnoteReference"/>
        </w:rPr>
        <w:footnoteRef/>
      </w:r>
      <w:r>
        <w:t xml:space="preserve"> </w:t>
      </w:r>
      <w:r>
        <w:t xml:space="preserve">Tafsír-i-Hú (Tafsir of the Name He)</w:t>
      </w:r>
    </w:p>
  </w:footnote>
  <w:footnote w:id="172">
    <w:p>
      <w:pPr>
        <w:pStyle w:val="FootnoteText"/>
      </w:pPr>
      <w:r>
        <w:rPr>
          <w:rStyle w:val="FootnoteReference"/>
        </w:rPr>
        <w:footnoteRef/>
      </w:r>
      <w:r>
        <w:t xml:space="preserve"> </w:t>
      </w:r>
      <w:r>
        <w:t xml:space="preserve">Súríy-i-Haykal</w:t>
      </w:r>
    </w:p>
  </w:footnote>
  <w:footnote w:id="173">
    <w:p>
      <w:pPr>
        <w:pStyle w:val="FootnoteText"/>
      </w:pPr>
      <w:r>
        <w:rPr>
          <w:rStyle w:val="FootnoteReference"/>
        </w:rPr>
        <w:footnoteRef/>
      </w:r>
      <w:r>
        <w:t xml:space="preserve"> </w:t>
      </w:r>
      <w:r>
        <w:t xml:space="preserve">Kitáb-i-Badí‘</w:t>
      </w:r>
    </w:p>
  </w:footnote>
  <w:footnote w:id="174">
    <w:p>
      <w:pPr>
        <w:pStyle w:val="FootnoteText"/>
      </w:pPr>
      <w:r>
        <w:rPr>
          <w:rStyle w:val="FootnoteReference"/>
        </w:rPr>
        <w:footnoteRef/>
      </w:r>
      <w:r>
        <w:t xml:space="preserve"> </w:t>
      </w:r>
      <w:r>
        <w:t xml:space="preserve">Lawḥ-i-Istintáq (Tablet of the Interrogation)</w:t>
      </w:r>
    </w:p>
  </w:footnote>
  <w:footnote w:id="175">
    <w:p>
      <w:pPr>
        <w:pStyle w:val="FootnoteText"/>
      </w:pPr>
      <w:r>
        <w:rPr>
          <w:rStyle w:val="FootnoteReference"/>
        </w:rPr>
        <w:footnoteRef/>
      </w:r>
      <w:r>
        <w:t xml:space="preserve"> </w:t>
      </w:r>
      <w:r>
        <w:t xml:space="preserve">BH00010 (Letters to Tehran through ’Alí-Akbar)</w:t>
      </w:r>
    </w:p>
  </w:footnote>
  <w:footnote w:id="176">
    <w:p>
      <w:pPr>
        <w:pStyle w:val="FootnoteText"/>
      </w:pPr>
      <w:r>
        <w:rPr>
          <w:rStyle w:val="FootnoteReference"/>
        </w:rPr>
        <w:footnoteRef/>
      </w:r>
      <w:r>
        <w:t xml:space="preserve"> </w:t>
      </w:r>
      <w:r>
        <w:t xml:space="preserve">BH00074</w:t>
      </w:r>
    </w:p>
  </w:footnote>
  <w:footnote w:id="183">
    <w:p>
      <w:pPr>
        <w:pStyle w:val="FootnoteText"/>
      </w:pPr>
      <w:r>
        <w:rPr>
          <w:rStyle w:val="FootnoteReference"/>
        </w:rPr>
        <w:footnoteRef/>
      </w:r>
      <w:r>
        <w:t xml:space="preserve"> </w:t>
      </w:r>
      <w:r>
        <w:t xml:space="preserve">Kitáb-i-Aqdas #138</w:t>
      </w:r>
    </w:p>
  </w:footnote>
  <w:footnote w:id="184">
    <w:p>
      <w:pPr>
        <w:pStyle w:val="FootnoteText"/>
      </w:pPr>
      <w:r>
        <w:rPr>
          <w:rStyle w:val="FootnoteReference"/>
        </w:rPr>
        <w:footnoteRef/>
      </w:r>
      <w:r>
        <w:t xml:space="preserve"> </w:t>
      </w:r>
      <w:r>
        <w:t xml:space="preserve">Kitáb-i-Aqdas #182</w:t>
      </w:r>
    </w:p>
  </w:footnote>
  <w:footnote w:id="185">
    <w:p>
      <w:pPr>
        <w:pStyle w:val="FootnoteText"/>
      </w:pPr>
      <w:r>
        <w:rPr>
          <w:rStyle w:val="FootnoteReference"/>
        </w:rPr>
        <w:footnoteRef/>
      </w:r>
      <w:r>
        <w:t xml:space="preserve"> </w:t>
      </w:r>
      <w:r>
        <w:t xml:space="preserve">Tablet of Mánikchí Ṣáḥib</w:t>
      </w:r>
    </w:p>
  </w:footnote>
  <w:footnote w:id="186">
    <w:p>
      <w:pPr>
        <w:pStyle w:val="FootnoteText"/>
      </w:pPr>
      <w:r>
        <w:rPr>
          <w:rStyle w:val="FootnoteReference"/>
        </w:rPr>
        <w:footnoteRef/>
      </w:r>
      <w:r>
        <w:t xml:space="preserve"> </w:t>
      </w:r>
      <w:r>
        <w:t xml:space="preserve">Kitáb-i-Aqdas #136</w:t>
      </w:r>
    </w:p>
  </w:footnote>
  <w:footnote w:id="187">
    <w:p>
      <w:pPr>
        <w:pStyle w:val="FootnoteText"/>
      </w:pPr>
      <w:r>
        <w:rPr>
          <w:rStyle w:val="FootnoteReference"/>
        </w:rPr>
        <w:footnoteRef/>
      </w:r>
      <w:r>
        <w:t xml:space="preserve"> </w:t>
      </w:r>
      <w:r>
        <w:t xml:space="preserve">Súríy-i-Haykal Verses 241 and 242</w:t>
      </w:r>
    </w:p>
  </w:footnote>
  <w:footnote w:id="188">
    <w:p>
      <w:pPr>
        <w:pStyle w:val="FootnoteText"/>
      </w:pPr>
      <w:r>
        <w:rPr>
          <w:rStyle w:val="FootnoteReference"/>
        </w:rPr>
        <w:footnoteRef/>
      </w:r>
      <w:r>
        <w:t xml:space="preserve"> </w:t>
      </w:r>
      <w:r>
        <w:t xml:space="preserve">The Persian Bayán, Váḥid 4, Gate 12</w:t>
      </w:r>
    </w:p>
  </w:footnote>
  <w:footnote w:id="190">
    <w:p>
      <w:pPr>
        <w:pStyle w:val="FootnoteText"/>
      </w:pPr>
      <w:r>
        <w:rPr>
          <w:rStyle w:val="FootnoteReference"/>
        </w:rPr>
        <w:footnoteRef/>
      </w:r>
      <w:r>
        <w:t xml:space="preserve"> </w:t>
      </w:r>
      <w:r>
        <w:t xml:space="preserve">A Tablet to Varqá (Letters to Yazd) and BH00057</w:t>
      </w:r>
    </w:p>
  </w:footnote>
  <w:footnote w:id="193">
    <w:p>
      <w:pPr>
        <w:pStyle w:val="FootnoteText"/>
      </w:pPr>
      <w:r>
        <w:rPr>
          <w:rStyle w:val="FootnoteReference"/>
        </w:rPr>
        <w:footnoteRef/>
      </w:r>
      <w:r>
        <w:t xml:space="preserve"> </w:t>
      </w:r>
      <w:r>
        <w:t xml:space="preserve">Kitáb-i-Aqdas #85</w:t>
      </w:r>
    </w:p>
  </w:footnote>
  <w:footnote w:id="194">
    <w:p>
      <w:pPr>
        <w:pStyle w:val="FootnoteText"/>
      </w:pPr>
      <w:r>
        <w:rPr>
          <w:rStyle w:val="FootnoteReference"/>
        </w:rPr>
        <w:footnoteRef/>
      </w:r>
      <w:r>
        <w:t xml:space="preserve"> </w:t>
      </w:r>
      <w:r>
        <w:t xml:space="preserve">The Kitáb-i-Badí‘</w:t>
      </w:r>
    </w:p>
  </w:footnote>
  <w:footnote w:id="195">
    <w:p>
      <w:pPr>
        <w:pStyle w:val="FootnoteText"/>
      </w:pPr>
      <w:r>
        <w:rPr>
          <w:rStyle w:val="FootnoteReference"/>
        </w:rPr>
        <w:footnoteRef/>
      </w:r>
      <w:r>
        <w:t xml:space="preserve"> </w:t>
      </w:r>
      <w:r>
        <w:t xml:space="preserve">Tablet to Mánikchí Ṣáḥib</w:t>
      </w:r>
    </w:p>
  </w:footnote>
  <w:footnote w:id="196">
    <w:p>
      <w:pPr>
        <w:pStyle w:val="FootnoteText"/>
      </w:pPr>
      <w:r>
        <w:rPr>
          <w:rStyle w:val="FootnoteReference"/>
        </w:rPr>
        <w:footnoteRef/>
      </w:r>
      <w:r>
        <w:t xml:space="preserve"> </w:t>
      </w:r>
      <w:r>
        <w:t xml:space="preserve">Kitáb-i-Aqdas #168</w:t>
      </w:r>
    </w:p>
  </w:footnote>
  <w:footnote w:id="197">
    <w:p>
      <w:pPr>
        <w:pStyle w:val="FootnoteText"/>
      </w:pPr>
      <w:r>
        <w:rPr>
          <w:rStyle w:val="FootnoteReference"/>
        </w:rPr>
        <w:footnoteRef/>
      </w:r>
      <w:r>
        <w:t xml:space="preserve"> </w:t>
      </w:r>
      <w:r>
        <w:t xml:space="preserve">Persian Bayán Váḥid 2, Gate 16</w:t>
      </w:r>
    </w:p>
  </w:footnote>
  <w:footnote w:id="198">
    <w:p>
      <w:pPr>
        <w:pStyle w:val="FootnoteText"/>
      </w:pPr>
      <w:r>
        <w:rPr>
          <w:rStyle w:val="FootnoteReference"/>
        </w:rPr>
        <w:footnoteRef/>
      </w:r>
      <w:r>
        <w:t xml:space="preserve"> </w:t>
      </w:r>
      <w:r>
        <w:t xml:space="preserve">Persian Bayán Váḥid 4, Gate 7</w:t>
      </w:r>
    </w:p>
  </w:footnote>
  <w:footnote w:id="199">
    <w:p>
      <w:pPr>
        <w:pStyle w:val="FootnoteText"/>
      </w:pPr>
      <w:r>
        <w:rPr>
          <w:rStyle w:val="FootnoteReference"/>
        </w:rPr>
        <w:footnoteRef/>
      </w:r>
      <w:r>
        <w:t xml:space="preserve"> </w:t>
      </w:r>
      <w:r>
        <w:t xml:space="preserve">The Persian Bayán Váḥid 8, Gate 4</w:t>
      </w:r>
    </w:p>
  </w:footnote>
  <w:footnote w:id="201">
    <w:p>
      <w:pPr>
        <w:pStyle w:val="FootnoteText"/>
      </w:pPr>
      <w:r>
        <w:rPr>
          <w:rStyle w:val="FootnoteReference"/>
        </w:rPr>
        <w:footnoteRef/>
      </w:r>
      <w:r>
        <w:t xml:space="preserve"> </w:t>
      </w:r>
      <w:r>
        <w:t xml:space="preserve">Kitáb-i-Aqdas #181</w:t>
      </w:r>
    </w:p>
  </w:footnote>
  <w:footnote w:id="202">
    <w:p>
      <w:pPr>
        <w:pStyle w:val="FootnoteText"/>
      </w:pPr>
      <w:r>
        <w:rPr>
          <w:rStyle w:val="FootnoteReference"/>
        </w:rPr>
        <w:footnoteRef/>
      </w:r>
      <w:r>
        <w:t xml:space="preserve"> </w:t>
      </w:r>
      <w:r>
        <w:t xml:space="preserve">Kitáb-i-Aqdas #183</w:t>
      </w:r>
    </w:p>
  </w:footnote>
  <w:footnote w:id="203">
    <w:p>
      <w:pPr>
        <w:pStyle w:val="FootnoteText"/>
      </w:pPr>
      <w:r>
        <w:rPr>
          <w:rStyle w:val="FootnoteReference"/>
        </w:rPr>
        <w:footnoteRef/>
      </w:r>
      <w:r>
        <w:t xml:space="preserve"> </w:t>
      </w:r>
      <w:r>
        <w:t xml:space="preserve">Kitáb-i-Aqdas #99</w:t>
      </w:r>
    </w:p>
  </w:footnote>
  <w:footnote w:id="204">
    <w:p>
      <w:pPr>
        <w:pStyle w:val="FootnoteText"/>
      </w:pPr>
      <w:r>
        <w:rPr>
          <w:rStyle w:val="FootnoteReference"/>
        </w:rPr>
        <w:footnoteRef/>
      </w:r>
      <w:r>
        <w:t xml:space="preserve"> </w:t>
      </w:r>
      <w:r>
        <w:t xml:space="preserve">Lawḥ-i-Ishráqát (Tablet of Splendors)</w:t>
      </w:r>
    </w:p>
  </w:footnote>
  <w:footnote w:id="205">
    <w:p>
      <w:pPr>
        <w:pStyle w:val="FootnoteText"/>
      </w:pPr>
      <w:r>
        <w:rPr>
          <w:rStyle w:val="FootnoteReference"/>
        </w:rPr>
        <w:footnoteRef/>
      </w:r>
      <w:r>
        <w:t xml:space="preserve"> </w:t>
      </w:r>
      <w:r>
        <w:t xml:space="preserve">Súríy-i-Mulúk</w:t>
      </w:r>
    </w:p>
  </w:footnote>
  <w:footnote w:id="206">
    <w:p>
      <w:pPr>
        <w:pStyle w:val="FootnoteText"/>
      </w:pPr>
      <w:r>
        <w:rPr>
          <w:rStyle w:val="FootnoteReference"/>
        </w:rPr>
        <w:footnoteRef/>
      </w:r>
      <w:r>
        <w:t xml:space="preserve"> </w:t>
      </w:r>
      <w:r>
        <w:t xml:space="preserve">Kitáb-i-Aqdas #6</w:t>
      </w:r>
    </w:p>
  </w:footnote>
  <w:footnote w:id="207">
    <w:p>
      <w:pPr>
        <w:pStyle w:val="FootnoteText"/>
      </w:pPr>
      <w:r>
        <w:rPr>
          <w:rStyle w:val="FootnoteReference"/>
        </w:rPr>
        <w:footnoteRef/>
      </w:r>
      <w:r>
        <w:t xml:space="preserve"> </w:t>
      </w:r>
      <w:r>
        <w:t xml:space="preserve">Kitáb-i-Aqdas #7</w:t>
      </w:r>
    </w:p>
  </w:footnote>
  <w:footnote w:id="210">
    <w:p>
      <w:pPr>
        <w:pStyle w:val="FootnoteText"/>
      </w:pPr>
      <w:r>
        <w:rPr>
          <w:rStyle w:val="FootnoteReference"/>
        </w:rPr>
        <w:footnoteRef/>
      </w:r>
      <w:r>
        <w:t xml:space="preserve"> </w:t>
      </w:r>
      <w:r>
        <w:t xml:space="preserve">Kitáb-i-Aqdas #117</w:t>
      </w:r>
    </w:p>
  </w:footnote>
  <w:footnote w:id="211">
    <w:p>
      <w:pPr>
        <w:pStyle w:val="FootnoteText"/>
      </w:pPr>
      <w:r>
        <w:rPr>
          <w:rStyle w:val="FootnoteReference"/>
        </w:rPr>
        <w:footnoteRef/>
      </w:r>
      <w:r>
        <w:t xml:space="preserve"> </w:t>
      </w:r>
      <w:r>
        <w:t xml:space="preserve">Kitáb-i-Aqdas #121</w:t>
      </w:r>
    </w:p>
  </w:footnote>
  <w:footnote w:id="212">
    <w:p>
      <w:pPr>
        <w:pStyle w:val="FootnoteText"/>
      </w:pPr>
      <w:r>
        <w:rPr>
          <w:rStyle w:val="FootnoteReference"/>
        </w:rPr>
        <w:footnoteRef/>
      </w:r>
      <w:r>
        <w:t xml:space="preserve"> </w:t>
      </w:r>
      <w:r>
        <w:t xml:space="preserve">Kitáb-i-Aqdas #186</w:t>
      </w:r>
    </w:p>
  </w:footnote>
  <w:footnote w:id="214">
    <w:p>
      <w:pPr>
        <w:pStyle w:val="FootnoteText"/>
      </w:pPr>
      <w:r>
        <w:rPr>
          <w:rStyle w:val="FootnoteReference"/>
        </w:rPr>
        <w:footnoteRef/>
      </w:r>
      <w:r>
        <w:t xml:space="preserve"> </w:t>
      </w:r>
      <w:r>
        <w:t xml:space="preserve">Kitáb-i-Aqdas #96</w:t>
      </w:r>
    </w:p>
  </w:footnote>
  <w:footnote w:id="215">
    <w:p>
      <w:pPr>
        <w:pStyle w:val="FootnoteText"/>
      </w:pPr>
      <w:r>
        <w:rPr>
          <w:rStyle w:val="FootnoteReference"/>
        </w:rPr>
        <w:footnoteRef/>
      </w:r>
      <w:r>
        <w:t xml:space="preserve"> </w:t>
      </w:r>
      <w:r>
        <w:t xml:space="preserve">Kitáb-i-Aqdas #98</w:t>
      </w:r>
    </w:p>
  </w:footnote>
  <w:footnote w:id="216">
    <w:p>
      <w:pPr>
        <w:pStyle w:val="FootnoteText"/>
      </w:pPr>
      <w:r>
        <w:rPr>
          <w:rStyle w:val="FootnoteReference"/>
        </w:rPr>
        <w:footnoteRef/>
      </w:r>
      <w:r>
        <w:t xml:space="preserve"> </w:t>
      </w:r>
      <w:r>
        <w:t xml:space="preserve">Kitáb-i-Aqdas #4</w:t>
      </w:r>
    </w:p>
  </w:footnote>
  <w:footnote w:id="217">
    <w:p>
      <w:pPr>
        <w:pStyle w:val="FootnoteText"/>
      </w:pPr>
      <w:r>
        <w:rPr>
          <w:rStyle w:val="FootnoteReference"/>
        </w:rPr>
        <w:footnoteRef/>
      </w:r>
      <w:r>
        <w:t xml:space="preserve"> </w:t>
      </w:r>
      <w:r>
        <w:t xml:space="preserve">Kitáb-i-Aqdas #4</w:t>
      </w:r>
    </w:p>
  </w:footnote>
  <w:footnote w:id="218">
    <w:p>
      <w:pPr>
        <w:pStyle w:val="FootnoteText"/>
      </w:pPr>
      <w:r>
        <w:rPr>
          <w:rStyle w:val="FootnoteReference"/>
        </w:rPr>
        <w:footnoteRef/>
      </w:r>
      <w:r>
        <w:t xml:space="preserve"> </w:t>
      </w:r>
      <w:r>
        <w:t xml:space="preserve">Kitáb-i-Aqdas #150</w:t>
      </w:r>
    </w:p>
  </w:footnote>
  <w:footnote w:id="219">
    <w:p>
      <w:pPr>
        <w:pStyle w:val="FootnoteText"/>
      </w:pPr>
      <w:r>
        <w:rPr>
          <w:rStyle w:val="FootnoteReference"/>
        </w:rPr>
        <w:footnoteRef/>
      </w:r>
      <w:r>
        <w:t xml:space="preserve"> </w:t>
      </w:r>
      <w:r>
        <w:t xml:space="preserve">Kitáb-i-Aqdas #5</w:t>
      </w:r>
    </w:p>
  </w:footnote>
  <w:footnote w:id="220">
    <w:p>
      <w:pPr>
        <w:pStyle w:val="FootnoteText"/>
      </w:pPr>
      <w:r>
        <w:rPr>
          <w:rStyle w:val="FootnoteReference"/>
        </w:rPr>
        <w:footnoteRef/>
      </w:r>
      <w:r>
        <w:t xml:space="preserve"> </w:t>
      </w:r>
      <w:r>
        <w:t xml:space="preserve">Kitáb-i-Aqdas #173</w:t>
      </w:r>
    </w:p>
  </w:footnote>
  <w:footnote w:id="221">
    <w:p>
      <w:pPr>
        <w:pStyle w:val="FootnoteText"/>
      </w:pPr>
      <w:r>
        <w:rPr>
          <w:rStyle w:val="FootnoteReference"/>
        </w:rPr>
        <w:footnoteRef/>
      </w:r>
      <w:r>
        <w:t xml:space="preserve"> </w:t>
      </w:r>
      <w:r>
        <w:t xml:space="preserve">The Persian Bayán Váḥid 5, Gate 14</w:t>
      </w:r>
    </w:p>
  </w:footnote>
  <w:footnote w:id="222">
    <w:p>
      <w:pPr>
        <w:pStyle w:val="FootnoteText"/>
      </w:pPr>
      <w:r>
        <w:rPr>
          <w:rStyle w:val="FootnoteReference"/>
        </w:rPr>
        <w:footnoteRef/>
      </w:r>
      <w:r>
        <w:t xml:space="preserve"> </w:t>
      </w:r>
      <w:r>
        <w:t xml:space="preserve">Kitáb-i-Aqdas #73</w:t>
      </w:r>
    </w:p>
  </w:footnote>
  <w:footnote w:id="223">
    <w:p>
      <w:pPr>
        <w:pStyle w:val="FootnoteText"/>
      </w:pPr>
      <w:r>
        <w:rPr>
          <w:rStyle w:val="FootnoteReference"/>
        </w:rPr>
        <w:footnoteRef/>
      </w:r>
      <w:r>
        <w:t xml:space="preserve"> </w:t>
      </w:r>
      <w:r>
        <w:t xml:space="preserve">Kitáb-i-Aqdas #50</w:t>
      </w:r>
    </w:p>
  </w:footnote>
  <w:footnote w:id="224">
    <w:p>
      <w:pPr>
        <w:pStyle w:val="FootnoteText"/>
      </w:pPr>
      <w:r>
        <w:rPr>
          <w:rStyle w:val="FootnoteReference"/>
        </w:rPr>
        <w:footnoteRef/>
      </w:r>
      <w:r>
        <w:t xml:space="preserve"> </w:t>
      </w:r>
      <w:r>
        <w:t xml:space="preserve">Kitáb-i-Aqdas #55</w:t>
      </w:r>
    </w:p>
  </w:footnote>
  <w:footnote w:id="225">
    <w:p>
      <w:pPr>
        <w:pStyle w:val="FootnoteText"/>
      </w:pPr>
      <w:r>
        <w:rPr>
          <w:rStyle w:val="FootnoteReference"/>
        </w:rPr>
        <w:footnoteRef/>
      </w:r>
      <w:r>
        <w:t xml:space="preserve"> </w:t>
      </w:r>
      <w:r>
        <w:t xml:space="preserve">Kitáb-i-Aqdas #180</w:t>
      </w:r>
    </w:p>
  </w:footnote>
  <w:footnote w:id="226">
    <w:p>
      <w:pPr>
        <w:pStyle w:val="FootnoteText"/>
      </w:pPr>
      <w:r>
        <w:rPr>
          <w:rStyle w:val="FootnoteReference"/>
        </w:rPr>
        <w:footnoteRef/>
      </w:r>
      <w:r>
        <w:t xml:space="preserve"> </w:t>
      </w:r>
      <w:r>
        <w:t xml:space="preserve">Kitáb-i-Aqdas #45</w:t>
      </w:r>
    </w:p>
  </w:footnote>
  <w:footnote w:id="227">
    <w:p>
      <w:pPr>
        <w:pStyle w:val="FootnoteText"/>
      </w:pPr>
      <w:r>
        <w:rPr>
          <w:rStyle w:val="FootnoteReference"/>
        </w:rPr>
        <w:footnoteRef/>
      </w:r>
      <w:r>
        <w:t xml:space="preserve"> </w:t>
      </w:r>
      <w:r>
        <w:t xml:space="preserve">Kitáb-i-Aqdas #4</w:t>
      </w:r>
    </w:p>
  </w:footnote>
  <w:footnote w:id="229">
    <w:p>
      <w:pPr>
        <w:pStyle w:val="FootnoteText"/>
      </w:pPr>
      <w:r>
        <w:rPr>
          <w:rStyle w:val="FootnoteReference"/>
        </w:rPr>
        <w:footnoteRef/>
      </w:r>
      <w:r>
        <w:t xml:space="preserve"> </w:t>
      </w:r>
      <w:r>
        <w:t xml:space="preserve">Kitáb-i-Aqdas #148</w:t>
      </w:r>
    </w:p>
  </w:footnote>
  <w:footnote w:id="230">
    <w:p>
      <w:pPr>
        <w:pStyle w:val="FootnoteText"/>
      </w:pPr>
      <w:r>
        <w:rPr>
          <w:rStyle w:val="FootnoteReference"/>
        </w:rPr>
        <w:footnoteRef/>
      </w:r>
      <w:r>
        <w:t xml:space="preserve"> </w:t>
      </w:r>
      <w:r>
        <w:t xml:space="preserve">Kitáb-i-Aqdas #125</w:t>
      </w:r>
    </w:p>
  </w:footnote>
  <w:footnote w:id="231">
    <w:p>
      <w:pPr>
        <w:pStyle w:val="FootnoteText"/>
      </w:pPr>
      <w:r>
        <w:rPr>
          <w:rStyle w:val="FootnoteReference"/>
        </w:rPr>
        <w:footnoteRef/>
      </w:r>
      <w:r>
        <w:t xml:space="preserve"> </w:t>
      </w:r>
      <w:r>
        <w:t xml:space="preserve">Kitáb-i-Aqdas #3</w:t>
      </w:r>
    </w:p>
  </w:footnote>
  <w:footnote w:id="232">
    <w:p>
      <w:pPr>
        <w:pStyle w:val="FootnoteText"/>
      </w:pPr>
      <w:r>
        <w:rPr>
          <w:rStyle w:val="FootnoteReference"/>
        </w:rPr>
        <w:footnoteRef/>
      </w:r>
      <w:r>
        <w:t xml:space="preserve"> </w:t>
      </w:r>
      <w:r>
        <w:t xml:space="preserve">Kitáb-i-Aqdas #3</w:t>
      </w:r>
    </w:p>
  </w:footnote>
  <w:footnote w:id="233">
    <w:p>
      <w:pPr>
        <w:pStyle w:val="FootnoteText"/>
      </w:pPr>
      <w:r>
        <w:rPr>
          <w:rStyle w:val="FootnoteReference"/>
        </w:rPr>
        <w:footnoteRef/>
      </w:r>
      <w:r>
        <w:t xml:space="preserve"> </w:t>
      </w:r>
      <w:r>
        <w:t xml:space="preserve">Kitáb-i-Aqdas #143</w:t>
      </w:r>
    </w:p>
  </w:footnote>
  <w:footnote w:id="237">
    <w:p>
      <w:pPr>
        <w:pStyle w:val="FootnoteText"/>
      </w:pPr>
      <w:r>
        <w:rPr>
          <w:rStyle w:val="FootnoteReference"/>
        </w:rPr>
        <w:footnoteRef/>
      </w:r>
      <w:r>
        <w:t xml:space="preserve"> </w:t>
      </w:r>
      <w:r>
        <w:t xml:space="preserve">Kitáb-i-Aqdas #81</w:t>
      </w:r>
    </w:p>
  </w:footnote>
  <w:footnote w:id="238">
    <w:p>
      <w:pPr>
        <w:pStyle w:val="FootnoteText"/>
      </w:pPr>
      <w:r>
        <w:rPr>
          <w:rStyle w:val="FootnoteReference"/>
        </w:rPr>
        <w:footnoteRef/>
      </w:r>
      <w:r>
        <w:t xml:space="preserve"> </w:t>
      </w:r>
      <w:r>
        <w:t xml:space="preserve">Kitáb-i-Aqdas #82</w:t>
      </w:r>
    </w:p>
  </w:footnote>
  <w:footnote w:id="239">
    <w:p>
      <w:pPr>
        <w:pStyle w:val="FootnoteText"/>
      </w:pPr>
      <w:r>
        <w:rPr>
          <w:rStyle w:val="FootnoteReference"/>
        </w:rPr>
        <w:footnoteRef/>
      </w:r>
      <w:r>
        <w:t xml:space="preserve"> </w:t>
      </w:r>
      <w:r>
        <w:t xml:space="preserve">Kitáb-i-Aqdas #131</w:t>
      </w:r>
    </w:p>
  </w:footnote>
  <w:footnote w:id="241">
    <w:p>
      <w:pPr>
        <w:pStyle w:val="FootnoteText"/>
      </w:pPr>
      <w:r>
        <w:rPr>
          <w:rStyle w:val="FootnoteReference"/>
        </w:rPr>
        <w:footnoteRef/>
      </w:r>
      <w:r>
        <w:t xml:space="preserve"> </w:t>
      </w:r>
      <w:r>
        <w:t xml:space="preserve">Persian Bayán Vahid 3 Gate 13</w:t>
      </w:r>
    </w:p>
  </w:footnote>
  <w:footnote w:id="245">
    <w:p>
      <w:pPr>
        <w:pStyle w:val="FootnoteText"/>
      </w:pPr>
      <w:r>
        <w:rPr>
          <w:rStyle w:val="FootnoteReference"/>
        </w:rPr>
        <w:footnoteRef/>
      </w:r>
      <w:r>
        <w:t xml:space="preserve"> </w:t>
      </w:r>
      <w:r>
        <w:t xml:space="preserve">Kitáb-i-Aqdas #80</w:t>
      </w:r>
    </w:p>
  </w:footnote>
  <w:footnote w:id="246">
    <w:p>
      <w:pPr>
        <w:pStyle w:val="FootnoteText"/>
      </w:pPr>
      <w:r>
        <w:rPr>
          <w:rStyle w:val="FootnoteReference"/>
        </w:rPr>
        <w:footnoteRef/>
      </w:r>
      <w:r>
        <w:t xml:space="preserve"> </w:t>
      </w:r>
      <w:r>
        <w:t xml:space="preserve">The Súríy-i-Ra’ís (Súrah to the Chief)</w:t>
      </w:r>
    </w:p>
  </w:footnote>
  <w:footnote w:id="247">
    <w:p>
      <w:pPr>
        <w:pStyle w:val="FootnoteText"/>
      </w:pPr>
      <w:r>
        <w:rPr>
          <w:rStyle w:val="FootnoteReference"/>
        </w:rPr>
        <w:footnoteRef/>
      </w:r>
      <w:r>
        <w:t xml:space="preserve"> </w:t>
      </w:r>
      <w:r>
        <w:t xml:space="preserve">The Testament of the Báb to Ṣubḥ-i-Azal</w:t>
      </w:r>
    </w:p>
  </w:footnote>
  <w:footnote w:id="248">
    <w:p>
      <w:pPr>
        <w:pStyle w:val="FootnoteText"/>
      </w:pPr>
      <w:r>
        <w:rPr>
          <w:rStyle w:val="FootnoteReference"/>
        </w:rPr>
        <w:footnoteRef/>
      </w:r>
      <w:r>
        <w:t xml:space="preserve"> </w:t>
      </w:r>
      <w:r>
        <w:t xml:space="preserve">Kitáb-i-Aqdas #137</w:t>
      </w:r>
    </w:p>
  </w:footnote>
  <w:footnote w:id="249">
    <w:p>
      <w:pPr>
        <w:pStyle w:val="FootnoteText"/>
      </w:pPr>
      <w:r>
        <w:rPr>
          <w:rStyle w:val="FootnoteReference"/>
        </w:rPr>
        <w:footnoteRef/>
      </w:r>
      <w:r>
        <w:t xml:space="preserve"> </w:t>
      </w:r>
      <w:r>
        <w:t xml:space="preserve">Kitáb-i-Aqdas #37</w:t>
      </w:r>
    </w:p>
  </w:footnote>
  <w:footnote w:id="250">
    <w:p>
      <w:pPr>
        <w:pStyle w:val="FootnoteText"/>
      </w:pPr>
      <w:r>
        <w:rPr>
          <w:rStyle w:val="FootnoteReference"/>
        </w:rPr>
        <w:footnoteRef/>
      </w:r>
      <w:r>
        <w:t xml:space="preserve"> </w:t>
      </w:r>
      <w:r>
        <w:t xml:space="preserve">Kitáb-i-Aqdas #51</w:t>
      </w:r>
    </w:p>
  </w:footnote>
  <w:footnote w:id="251">
    <w:p>
      <w:pPr>
        <w:pStyle w:val="FootnoteText"/>
      </w:pPr>
      <w:r>
        <w:rPr>
          <w:rStyle w:val="FootnoteReference"/>
        </w:rPr>
        <w:footnoteRef/>
      </w:r>
      <w:r>
        <w:t xml:space="preserve"> </w:t>
      </w:r>
      <w:r>
        <w:t xml:space="preserve">Kitáb-i-Aqdas #127</w:t>
      </w:r>
    </w:p>
  </w:footnote>
  <w:footnote w:id="252">
    <w:p>
      <w:pPr>
        <w:pStyle w:val="FootnoteText"/>
      </w:pPr>
      <w:r>
        <w:rPr>
          <w:rStyle w:val="FootnoteReference"/>
        </w:rPr>
        <w:footnoteRef/>
      </w:r>
      <w:r>
        <w:t xml:space="preserve"> </w:t>
      </w:r>
      <w:r>
        <w:t xml:space="preserve">Kitáb-i-Aqdas #104</w:t>
      </w:r>
    </w:p>
  </w:footnote>
  <w:footnote w:id="253">
    <w:p>
      <w:pPr>
        <w:pStyle w:val="FootnoteText"/>
      </w:pPr>
      <w:r>
        <w:rPr>
          <w:rStyle w:val="FootnoteReference"/>
        </w:rPr>
        <w:footnoteRef/>
      </w:r>
      <w:r>
        <w:t xml:space="preserve"> </w:t>
      </w:r>
      <w:r>
        <w:t xml:space="preserve">Kitáb-i-Aqdas #101</w:t>
      </w:r>
    </w:p>
  </w:footnote>
  <w:footnote w:id="254">
    <w:p>
      <w:pPr>
        <w:pStyle w:val="FootnoteText"/>
      </w:pPr>
      <w:r>
        <w:rPr>
          <w:rStyle w:val="FootnoteReference"/>
        </w:rPr>
        <w:footnoteRef/>
      </w:r>
      <w:r>
        <w:t xml:space="preserve"> </w:t>
      </w:r>
      <w:r>
        <w:t xml:space="preserve">Kitáb-i-Aqdas #175 and #176</w:t>
      </w:r>
    </w:p>
  </w:footnote>
  <w:footnote w:id="255">
    <w:p>
      <w:pPr>
        <w:pStyle w:val="FootnoteText"/>
      </w:pPr>
      <w:r>
        <w:rPr>
          <w:rStyle w:val="FootnoteReference"/>
        </w:rPr>
        <w:footnoteRef/>
      </w:r>
      <w:r>
        <w:t xml:space="preserve"> </w:t>
      </w:r>
      <w:r>
        <w:t xml:space="preserve">Kitáb-i-Aqdas #75</w:t>
      </w:r>
    </w:p>
  </w:footnote>
  <w:footnote w:id="256">
    <w:p>
      <w:pPr>
        <w:pStyle w:val="FootnoteText"/>
      </w:pPr>
      <w:r>
        <w:rPr>
          <w:rStyle w:val="FootnoteReference"/>
        </w:rPr>
        <w:footnoteRef/>
      </w:r>
      <w:r>
        <w:t xml:space="preserve"> </w:t>
      </w:r>
      <w:r>
        <w:t xml:space="preserve">Kitáb-i-Aqdas #132</w:t>
      </w:r>
    </w:p>
  </w:footnote>
  <w:footnote w:id="257">
    <w:p>
      <w:pPr>
        <w:pStyle w:val="FootnoteText"/>
      </w:pPr>
      <w:r>
        <w:rPr>
          <w:rStyle w:val="FootnoteReference"/>
        </w:rPr>
        <w:footnoteRef/>
      </w:r>
      <w:r>
        <w:t xml:space="preserve"> </w:t>
      </w:r>
      <w:r>
        <w:t xml:space="preserve">Kitáb-i-Aqdas #132</w:t>
      </w:r>
    </w:p>
  </w:footnote>
  <w:footnote w:id="258">
    <w:p>
      <w:pPr>
        <w:pStyle w:val="FootnoteText"/>
      </w:pPr>
      <w:r>
        <w:rPr>
          <w:rStyle w:val="FootnoteReference"/>
        </w:rPr>
        <w:footnoteRef/>
      </w:r>
      <w:r>
        <w:t xml:space="preserve"> </w:t>
      </w:r>
      <w:r>
        <w:t xml:space="preserve">The Lawḥ-i-Aqdas (Most Holy Tablet)</w:t>
      </w:r>
    </w:p>
  </w:footnote>
  <w:footnote w:id="265">
    <w:p>
      <w:pPr>
        <w:pStyle w:val="FootnoteText"/>
      </w:pPr>
      <w:r>
        <w:rPr>
          <w:rStyle w:val="FootnoteReference"/>
        </w:rPr>
        <w:footnoteRef/>
      </w:r>
      <w:r>
        <w:t xml:space="preserve"> </w:t>
      </w:r>
      <w:r>
        <w:t xml:space="preserve">Kitáb-i-Aqdas #120</w:t>
      </w:r>
    </w:p>
  </w:footnote>
  <w:footnote w:id="267">
    <w:p>
      <w:pPr>
        <w:pStyle w:val="FootnoteText"/>
      </w:pPr>
      <w:r>
        <w:rPr>
          <w:rStyle w:val="FootnoteReference"/>
        </w:rPr>
        <w:footnoteRef/>
      </w:r>
      <w:r>
        <w:t xml:space="preserve"> </w:t>
      </w:r>
      <w:r>
        <w:t xml:space="preserve">Kitáb-i-Aqdas #120</w:t>
      </w:r>
    </w:p>
  </w:footnote>
  <w:footnote w:id="269">
    <w:p>
      <w:pPr>
        <w:pStyle w:val="FootnoteText"/>
      </w:pPr>
      <w:r>
        <w:rPr>
          <w:rStyle w:val="FootnoteReference"/>
        </w:rPr>
        <w:footnoteRef/>
      </w:r>
      <w:r>
        <w:t xml:space="preserve"> </w:t>
      </w:r>
      <w:r>
        <w:t xml:space="preserve">Kitáb-i-Aqdas #123</w:t>
      </w:r>
    </w:p>
  </w:footnote>
  <w:footnote w:id="271">
    <w:p>
      <w:pPr>
        <w:pStyle w:val="FootnoteText"/>
      </w:pPr>
      <w:r>
        <w:rPr>
          <w:rStyle w:val="FootnoteReference"/>
        </w:rPr>
        <w:footnoteRef/>
      </w:r>
      <w:r>
        <w:t xml:space="preserve"> </w:t>
      </w:r>
      <w:r>
        <w:t xml:space="preserve">Lawḥ-i-Siráj</w:t>
      </w:r>
    </w:p>
  </w:footnote>
  <w:footnote w:id="272">
    <w:p>
      <w:pPr>
        <w:pStyle w:val="FootnoteText"/>
      </w:pPr>
      <w:r>
        <w:rPr>
          <w:rStyle w:val="FootnoteReference"/>
        </w:rPr>
        <w:footnoteRef/>
      </w:r>
      <w:r>
        <w:t xml:space="preserve"> </w:t>
      </w:r>
      <w:r>
        <w:t xml:space="preserve">Kitáb-i-Aqdas #120</w:t>
      </w:r>
    </w:p>
  </w:footnote>
  <w:footnote w:id="274">
    <w:p>
      <w:pPr>
        <w:pStyle w:val="FootnoteText"/>
      </w:pPr>
      <w:r>
        <w:rPr>
          <w:rStyle w:val="FootnoteReference"/>
        </w:rPr>
        <w:footnoteRef/>
      </w:r>
      <w:r>
        <w:t xml:space="preserve"> </w:t>
      </w:r>
      <w:r>
        <w:t xml:space="preserve">Kitáb-i-Aqdas #52</w:t>
      </w:r>
    </w:p>
  </w:footnote>
  <w:footnote w:id="275">
    <w:p>
      <w:pPr>
        <w:pStyle w:val="FootnoteText"/>
      </w:pPr>
      <w:r>
        <w:rPr>
          <w:rStyle w:val="FootnoteReference"/>
        </w:rPr>
        <w:footnoteRef/>
      </w:r>
      <w:r>
        <w:t xml:space="preserve"> </w:t>
      </w:r>
      <w:r>
        <w:t xml:space="preserve">Kitáb-i-Aqdas #69</w:t>
      </w:r>
    </w:p>
  </w:footnote>
  <w:footnote w:id="276">
    <w:p>
      <w:pPr>
        <w:pStyle w:val="FootnoteText"/>
      </w:pPr>
      <w:r>
        <w:rPr>
          <w:rStyle w:val="FootnoteReference"/>
        </w:rPr>
        <w:footnoteRef/>
      </w:r>
      <w:r>
        <w:t xml:space="preserve"> </w:t>
      </w:r>
      <w:r>
        <w:t xml:space="preserve">Words of Paradise</w:t>
      </w:r>
    </w:p>
  </w:footnote>
  <w:footnote w:id="277">
    <w:p>
      <w:pPr>
        <w:pStyle w:val="FootnoteText"/>
      </w:pPr>
      <w:r>
        <w:rPr>
          <w:rStyle w:val="FootnoteReference"/>
        </w:rPr>
        <w:footnoteRef/>
      </w:r>
      <w:r>
        <w:t xml:space="preserve"> </w:t>
      </w:r>
      <w:r>
        <w:t xml:space="preserve">Kitáb-i-Aqdas #134</w:t>
      </w:r>
    </w:p>
  </w:footnote>
  <w:footnote w:id="278">
    <w:p>
      <w:pPr>
        <w:pStyle w:val="FootnoteText"/>
      </w:pPr>
      <w:r>
        <w:rPr>
          <w:rStyle w:val="FootnoteReference"/>
        </w:rPr>
        <w:footnoteRef/>
      </w:r>
      <w:r>
        <w:t xml:space="preserve"> </w:t>
      </w:r>
      <w:r>
        <w:t xml:space="preserve">Lawḥ-i-Dunyá</w:t>
      </w:r>
    </w:p>
  </w:footnote>
  <w:footnote w:id="282">
    <w:p>
      <w:pPr>
        <w:pStyle w:val="FootnoteText"/>
      </w:pPr>
      <w:r>
        <w:rPr>
          <w:rStyle w:val="FootnoteReference"/>
        </w:rPr>
        <w:footnoteRef/>
      </w:r>
      <w:r>
        <w:t xml:space="preserve"> </w:t>
      </w:r>
      <w:r>
        <w:t xml:space="preserve">The Words of Paradise, Ninth Leaf</w:t>
      </w:r>
    </w:p>
  </w:footnote>
  <w:footnote w:id="284">
    <w:p>
      <w:pPr>
        <w:pStyle w:val="FootnoteText"/>
      </w:pPr>
      <w:r>
        <w:rPr>
          <w:rStyle w:val="FootnoteReference"/>
        </w:rPr>
        <w:footnoteRef/>
      </w:r>
      <w:r>
        <w:t xml:space="preserve"> </w:t>
      </w:r>
      <w:r>
        <w:t xml:space="preserve">Kitáb-i-Aqdas #40</w:t>
      </w:r>
    </w:p>
  </w:footnote>
  <w:footnote w:id="285">
    <w:p>
      <w:pPr>
        <w:pStyle w:val="FootnoteText"/>
      </w:pPr>
      <w:r>
        <w:rPr>
          <w:rStyle w:val="FootnoteReference"/>
        </w:rPr>
        <w:footnoteRef/>
      </w:r>
      <w:r>
        <w:t xml:space="preserve"> </w:t>
      </w:r>
      <w:r>
        <w:t xml:space="preserve">Kitáb-i-Aqdas #148</w:t>
      </w:r>
    </w:p>
  </w:footnote>
  <w:footnote w:id="286">
    <w:p>
      <w:pPr>
        <w:pStyle w:val="FootnoteText"/>
      </w:pPr>
      <w:r>
        <w:rPr>
          <w:rStyle w:val="FootnoteReference"/>
        </w:rPr>
        <w:footnoteRef/>
      </w:r>
      <w:r>
        <w:t xml:space="preserve"> </w:t>
      </w:r>
      <w:r>
        <w:t xml:space="preserve">Kitáb-i-Badí‘</w:t>
      </w:r>
    </w:p>
  </w:footnote>
  <w:footnote w:id="287">
    <w:p>
      <w:pPr>
        <w:pStyle w:val="FootnoteText"/>
      </w:pPr>
      <w:r>
        <w:rPr>
          <w:rStyle w:val="FootnoteReference"/>
        </w:rPr>
        <w:footnoteRef/>
      </w:r>
      <w:r>
        <w:t xml:space="preserve"> </w:t>
      </w:r>
      <w:r>
        <w:t xml:space="preserve">Hidden Words in Arabic #5</w:t>
      </w:r>
    </w:p>
  </w:footnote>
  <w:footnote w:id="297">
    <w:p>
      <w:pPr>
        <w:pStyle w:val="FootnoteText"/>
      </w:pPr>
      <w:r>
        <w:rPr>
          <w:rStyle w:val="FootnoteReference"/>
        </w:rPr>
        <w:footnoteRef/>
      </w:r>
      <w:r>
        <w:t xml:space="preserve"> </w:t>
      </w:r>
      <w:r>
        <w:t xml:space="preserve">Kitáb-i-Aqdas #10</w:t>
      </w:r>
    </w:p>
  </w:footnote>
  <w:footnote w:id="298">
    <w:p>
      <w:pPr>
        <w:pStyle w:val="FootnoteText"/>
      </w:pPr>
      <w:r>
        <w:rPr>
          <w:rStyle w:val="FootnoteReference"/>
        </w:rPr>
        <w:footnoteRef/>
      </w:r>
      <w:r>
        <w:t xml:space="preserve"> </w:t>
      </w:r>
      <w:r>
        <w:t xml:space="preserve">BB00083</w:t>
      </w:r>
    </w:p>
  </w:footnote>
  <w:footnote w:id="299">
    <w:p>
      <w:pPr>
        <w:pStyle w:val="FootnoteText"/>
      </w:pPr>
      <w:r>
        <w:rPr>
          <w:rStyle w:val="FootnoteReference"/>
        </w:rPr>
        <w:footnoteRef/>
      </w:r>
      <w:r>
        <w:t xml:space="preserve"> </w:t>
      </w:r>
      <w:r>
        <w:t xml:space="preserve">Kitáb-i-Aqdas #13</w:t>
      </w:r>
    </w:p>
  </w:footnote>
  <w:footnote w:id="301">
    <w:p>
      <w:pPr>
        <w:pStyle w:val="FootnoteText"/>
      </w:pPr>
      <w:r>
        <w:rPr>
          <w:rStyle w:val="FootnoteReference"/>
        </w:rPr>
        <w:footnoteRef/>
      </w:r>
      <w:r>
        <w:t xml:space="preserve"> </w:t>
      </w:r>
      <w:r>
        <w:t xml:space="preserve">Kitáb-i-Aqdas #18</w:t>
      </w:r>
    </w:p>
  </w:footnote>
  <w:footnote w:id="302">
    <w:p>
      <w:pPr>
        <w:pStyle w:val="FootnoteText"/>
      </w:pPr>
      <w:r>
        <w:rPr>
          <w:rStyle w:val="FootnoteReference"/>
        </w:rPr>
        <w:footnoteRef/>
      </w:r>
      <w:r>
        <w:t xml:space="preserve"> </w:t>
      </w:r>
      <w:r>
        <w:t xml:space="preserve">Kitáb-i-Aqdas #12</w:t>
      </w:r>
    </w:p>
  </w:footnote>
  <w:footnote w:id="305">
    <w:p>
      <w:pPr>
        <w:pStyle w:val="FootnoteText"/>
      </w:pPr>
      <w:r>
        <w:rPr>
          <w:rStyle w:val="FootnoteReference"/>
        </w:rPr>
        <w:footnoteRef/>
      </w:r>
      <w:r>
        <w:t xml:space="preserve"> </w:t>
      </w:r>
      <w:r>
        <w:t xml:space="preserve">Kitáb-i-Aqdas #10</w:t>
      </w:r>
    </w:p>
  </w:footnote>
  <w:footnote w:id="307">
    <w:p>
      <w:pPr>
        <w:pStyle w:val="FootnoteText"/>
      </w:pPr>
      <w:r>
        <w:rPr>
          <w:rStyle w:val="FootnoteReference"/>
        </w:rPr>
        <w:footnoteRef/>
      </w:r>
      <w:r>
        <w:t xml:space="preserve"> </w:t>
      </w:r>
      <w:r>
        <w:t xml:space="preserve">The Persian Bayán, Váḥid 9 Gate 19</w:t>
      </w:r>
    </w:p>
  </w:footnote>
  <w:footnote w:id="309">
    <w:p>
      <w:pPr>
        <w:pStyle w:val="FootnoteText"/>
      </w:pPr>
      <w:r>
        <w:rPr>
          <w:rStyle w:val="FootnoteReference"/>
        </w:rPr>
        <w:footnoteRef/>
      </w:r>
      <w:r>
        <w:t xml:space="preserve"> </w:t>
      </w:r>
      <w:r>
        <w:t xml:space="preserve">The Persian Bayán Váḥid 9, Gate 9</w:t>
      </w:r>
    </w:p>
  </w:footnote>
  <w:footnote w:id="310">
    <w:p>
      <w:pPr>
        <w:pStyle w:val="FootnoteText"/>
      </w:pPr>
      <w:r>
        <w:rPr>
          <w:rStyle w:val="FootnoteReference"/>
        </w:rPr>
        <w:footnoteRef/>
      </w:r>
      <w:r>
        <w:t xml:space="preserve"> </w:t>
      </w:r>
      <w:r>
        <w:t xml:space="preserve">Kitáb-i-Aqdas #12</w:t>
      </w:r>
    </w:p>
  </w:footnote>
  <w:footnote w:id="313">
    <w:p>
      <w:pPr>
        <w:pStyle w:val="FootnoteText"/>
      </w:pPr>
      <w:r>
        <w:rPr>
          <w:rStyle w:val="FootnoteReference"/>
        </w:rPr>
        <w:footnoteRef/>
      </w:r>
      <w:r>
        <w:t xml:space="preserve"> </w:t>
      </w:r>
      <w:r>
        <w:t xml:space="preserve">Kitáb-i-Aqdas #9</w:t>
      </w:r>
    </w:p>
  </w:footnote>
  <w:footnote w:id="314">
    <w:p>
      <w:pPr>
        <w:pStyle w:val="FootnoteText"/>
      </w:pPr>
      <w:r>
        <w:rPr>
          <w:rStyle w:val="FootnoteReference"/>
        </w:rPr>
        <w:footnoteRef/>
      </w:r>
      <w:r>
        <w:t xml:space="preserve"> </w:t>
      </w:r>
      <w:r>
        <w:t xml:space="preserve">BH00010: Letters to Ṭihrán Through ’Alí-Akbar</w:t>
      </w:r>
    </w:p>
  </w:footnote>
  <w:footnote w:id="330">
    <w:p>
      <w:pPr>
        <w:pStyle w:val="FootnoteText"/>
      </w:pPr>
      <w:r>
        <w:rPr>
          <w:rStyle w:val="FootnoteReference"/>
        </w:rPr>
        <w:footnoteRef/>
      </w:r>
      <w:r>
        <w:t xml:space="preserve"> </w:t>
      </w:r>
      <w:r>
        <w:t xml:space="preserve">Kitáb-i-Aqdas #149</w:t>
      </w:r>
    </w:p>
  </w:footnote>
  <w:footnote w:id="332">
    <w:p>
      <w:pPr>
        <w:pStyle w:val="FootnoteText"/>
      </w:pPr>
      <w:r>
        <w:rPr>
          <w:rStyle w:val="FootnoteReference"/>
        </w:rPr>
        <w:footnoteRef/>
      </w:r>
      <w:r>
        <w:t xml:space="preserve"> </w:t>
      </w:r>
      <w:r>
        <w:t xml:space="preserve">Kitáb-i-Aqdas #138</w:t>
      </w:r>
    </w:p>
  </w:footnote>
  <w:footnote w:id="334">
    <w:p>
      <w:pPr>
        <w:pStyle w:val="FootnoteText"/>
      </w:pPr>
      <w:r>
        <w:rPr>
          <w:rStyle w:val="FootnoteReference"/>
        </w:rPr>
        <w:footnoteRef/>
      </w:r>
      <w:r>
        <w:t xml:space="preserve"> </w:t>
      </w:r>
      <w:r>
        <w:t xml:space="preserve">Kitáb-i-Aqdas #149</w:t>
      </w:r>
    </w:p>
  </w:footnote>
  <w:footnote w:id="335">
    <w:p>
      <w:pPr>
        <w:pStyle w:val="FootnoteText"/>
      </w:pPr>
      <w:r>
        <w:rPr>
          <w:rStyle w:val="FootnoteReference"/>
        </w:rPr>
        <w:footnoteRef/>
      </w:r>
      <w:r>
        <w:t xml:space="preserve"> </w:t>
      </w:r>
      <w:r>
        <w:t xml:space="preserve">Kitáb-i-Aqdas #150</w:t>
      </w:r>
    </w:p>
  </w:footnote>
  <w:footnote w:id="336">
    <w:p>
      <w:pPr>
        <w:pStyle w:val="FootnoteText"/>
      </w:pPr>
      <w:r>
        <w:rPr>
          <w:rStyle w:val="FootnoteReference"/>
        </w:rPr>
        <w:footnoteRef/>
      </w:r>
      <w:r>
        <w:t xml:space="preserve"> </w:t>
      </w:r>
      <w:r>
        <w:t xml:space="preserve">Kitáb-i-Aqdas #116</w:t>
      </w:r>
    </w:p>
  </w:footnote>
  <w:footnote w:id="350">
    <w:p>
      <w:pPr>
        <w:pStyle w:val="FootnoteText"/>
      </w:pPr>
      <w:r>
        <w:rPr>
          <w:rStyle w:val="FootnoteReference"/>
        </w:rPr>
        <w:footnoteRef/>
      </w:r>
      <w:r>
        <w:t xml:space="preserve"> </w:t>
      </w:r>
      <w:r>
        <w:t xml:space="preserve">Kitáb-i-Aqdas #117</w:t>
      </w:r>
    </w:p>
  </w:footnote>
  <w:footnote w:id="351">
    <w:p>
      <w:pPr>
        <w:pStyle w:val="FootnoteText"/>
      </w:pPr>
      <w:r>
        <w:rPr>
          <w:rStyle w:val="FootnoteReference"/>
        </w:rPr>
        <w:footnoteRef/>
      </w:r>
      <w:r>
        <w:t xml:space="preserve"> </w:t>
      </w:r>
      <w:r>
        <w:t xml:space="preserve">Kitáb-i-Aqdas #112</w:t>
      </w:r>
    </w:p>
  </w:footnote>
  <w:footnote w:id="352">
    <w:p>
      <w:pPr>
        <w:pStyle w:val="FootnoteText"/>
      </w:pPr>
      <w:r>
        <w:rPr>
          <w:rStyle w:val="FootnoteReference"/>
        </w:rPr>
        <w:footnoteRef/>
      </w:r>
      <w:r>
        <w:t xml:space="preserve"> </w:t>
      </w:r>
      <w:r>
        <w:t xml:space="preserve">Kitáb-i-Aqdas #14</w:t>
      </w:r>
    </w:p>
  </w:footnote>
  <w:footnote w:id="353">
    <w:p>
      <w:pPr>
        <w:pStyle w:val="FootnoteText"/>
      </w:pPr>
      <w:r>
        <w:rPr>
          <w:rStyle w:val="FootnoteReference"/>
        </w:rPr>
        <w:footnoteRef/>
      </w:r>
      <w:r>
        <w:t xml:space="preserve"> </w:t>
      </w:r>
      <w:r>
        <w:t xml:space="preserve">Kitáb-i-Aqdas #11</w:t>
      </w:r>
    </w:p>
  </w:footnote>
  <w:footnote w:id="354">
    <w:p>
      <w:pPr>
        <w:pStyle w:val="FootnoteText"/>
      </w:pPr>
      <w:r>
        <w:rPr>
          <w:rStyle w:val="FootnoteReference"/>
        </w:rPr>
        <w:footnoteRef/>
      </w:r>
      <w:r>
        <w:t xml:space="preserve"> </w:t>
      </w:r>
      <w:r>
        <w:t xml:space="preserve">Kitáb-i-Aqdas #167</w:t>
      </w:r>
    </w:p>
  </w:footnote>
  <w:footnote w:id="355">
    <w:p>
      <w:pPr>
        <w:pStyle w:val="FootnoteText"/>
      </w:pPr>
      <w:r>
        <w:rPr>
          <w:rStyle w:val="FootnoteReference"/>
        </w:rPr>
        <w:footnoteRef/>
      </w:r>
      <w:r>
        <w:t xml:space="preserve"> </w:t>
      </w:r>
      <w:r>
        <w:t xml:space="preserve">Kitáb-i-Aqdas #50</w:t>
      </w:r>
    </w:p>
  </w:footnote>
  <w:footnote w:id="356">
    <w:p>
      <w:pPr>
        <w:pStyle w:val="FootnoteText"/>
      </w:pPr>
      <w:r>
        <w:rPr>
          <w:rStyle w:val="FootnoteReference"/>
        </w:rPr>
        <w:footnoteRef/>
      </w:r>
      <w:r>
        <w:t xml:space="preserve"> </w:t>
      </w:r>
      <w:r>
        <w:t xml:space="preserve">Kitáb-i-Aqdas #143</w:t>
      </w:r>
    </w:p>
  </w:footnote>
  <w:footnote w:id="357">
    <w:p>
      <w:pPr>
        <w:pStyle w:val="FootnoteText"/>
      </w:pPr>
      <w:r>
        <w:rPr>
          <w:rStyle w:val="FootnoteReference"/>
        </w:rPr>
        <w:footnoteRef/>
      </w:r>
      <w:r>
        <w:t xml:space="preserve"> </w:t>
      </w:r>
      <w:r>
        <w:t xml:space="preserve">Kitáb-i-Aqdas #185</w:t>
      </w:r>
    </w:p>
  </w:footnote>
  <w:footnote w:id="358">
    <w:p>
      <w:pPr>
        <w:pStyle w:val="FootnoteText"/>
      </w:pPr>
      <w:r>
        <w:rPr>
          <w:rStyle w:val="FootnoteReference"/>
        </w:rPr>
        <w:footnoteRef/>
      </w:r>
      <w:r>
        <w:t xml:space="preserve"> </w:t>
      </w:r>
      <w:r>
        <w:t xml:space="preserve">Kitáb-i-Aqdas #172</w:t>
      </w:r>
    </w:p>
  </w:footnote>
  <w:footnote w:id="360">
    <w:p>
      <w:pPr>
        <w:pStyle w:val="FootnoteText"/>
      </w:pPr>
      <w:r>
        <w:rPr>
          <w:rStyle w:val="FootnoteReference"/>
        </w:rPr>
        <w:footnoteRef/>
      </w:r>
      <w:r>
        <w:t xml:space="preserve"> </w:t>
      </w:r>
      <w:r>
        <w:t xml:space="preserve">The Hidden Words in Persian #16</w:t>
      </w:r>
    </w:p>
  </w:footnote>
  <w:footnote w:id="361">
    <w:p>
      <w:pPr>
        <w:pStyle w:val="FootnoteText"/>
      </w:pPr>
      <w:r>
        <w:rPr>
          <w:rStyle w:val="FootnoteReference"/>
        </w:rPr>
        <w:footnoteRef/>
      </w:r>
      <w:r>
        <w:t xml:space="preserve"> </w:t>
      </w:r>
      <w:r>
        <w:t xml:space="preserve">Kitáb-i-Aqdas #31</w:t>
      </w:r>
    </w:p>
  </w:footnote>
  <w:footnote w:id="364">
    <w:p>
      <w:pPr>
        <w:pStyle w:val="FootnoteText"/>
      </w:pPr>
      <w:r>
        <w:rPr>
          <w:rStyle w:val="FootnoteReference"/>
        </w:rPr>
        <w:footnoteRef/>
      </w:r>
      <w:r>
        <w:t xml:space="preserve"> </w:t>
      </w:r>
      <w:r>
        <w:t xml:space="preserve">Kitáb-i-Aqdas #16</w:t>
      </w:r>
    </w:p>
  </w:footnote>
  <w:footnote w:id="365">
    <w:p>
      <w:pPr>
        <w:pStyle w:val="FootnoteText"/>
      </w:pPr>
      <w:r>
        <w:rPr>
          <w:rStyle w:val="FootnoteReference"/>
        </w:rPr>
        <w:footnoteRef/>
      </w:r>
      <w:r>
        <w:t xml:space="preserve"> </w:t>
      </w:r>
      <w:r>
        <w:t xml:space="preserve">Kitáb-i-Aqdas #74</w:t>
      </w:r>
    </w:p>
  </w:footnote>
  <w:footnote w:id="366">
    <w:p>
      <w:pPr>
        <w:pStyle w:val="FootnoteText"/>
      </w:pPr>
      <w:r>
        <w:rPr>
          <w:rStyle w:val="FootnoteReference"/>
        </w:rPr>
        <w:footnoteRef/>
      </w:r>
      <w:r>
        <w:t xml:space="preserve"> </w:t>
      </w:r>
      <w:r>
        <w:t xml:space="preserve">Kitáb-i-Aqdas #51</w:t>
      </w:r>
    </w:p>
  </w:footnote>
  <w:footnote w:id="367">
    <w:p>
      <w:pPr>
        <w:pStyle w:val="FootnoteText"/>
      </w:pPr>
      <w:r>
        <w:rPr>
          <w:rStyle w:val="FootnoteReference"/>
        </w:rPr>
        <w:footnoteRef/>
      </w:r>
      <w:r>
        <w:t xml:space="preserve"> </w:t>
      </w:r>
      <w:r>
        <w:t xml:space="preserve">Kitáb-i-Aqdas #51</w:t>
      </w:r>
    </w:p>
  </w:footnote>
  <w:footnote w:id="368">
    <w:p>
      <w:pPr>
        <w:pStyle w:val="FootnoteText"/>
      </w:pPr>
      <w:r>
        <w:rPr>
          <w:rStyle w:val="FootnoteReference"/>
        </w:rPr>
        <w:footnoteRef/>
      </w:r>
      <w:r>
        <w:t xml:space="preserve"> </w:t>
      </w:r>
      <w:r>
        <w:t xml:space="preserve">Kitáb-i-Aqdas #108</w:t>
      </w:r>
    </w:p>
  </w:footnote>
  <w:footnote w:id="371">
    <w:p>
      <w:pPr>
        <w:pStyle w:val="FootnoteText"/>
      </w:pPr>
      <w:r>
        <w:rPr>
          <w:rStyle w:val="FootnoteReference"/>
        </w:rPr>
        <w:footnoteRef/>
      </w:r>
      <w:r>
        <w:t xml:space="preserve"> </w:t>
      </w:r>
      <w:r>
        <w:t xml:space="preserve">Kitáb-i-Aqdas #18</w:t>
      </w:r>
    </w:p>
  </w:footnote>
  <w:footnote w:id="382">
    <w:p>
      <w:pPr>
        <w:pStyle w:val="FootnoteText"/>
      </w:pPr>
      <w:r>
        <w:rPr>
          <w:rStyle w:val="FootnoteReference"/>
        </w:rPr>
        <w:footnoteRef/>
      </w:r>
      <w:r>
        <w:t xml:space="preserve"> </w:t>
      </w:r>
      <w:r>
        <w:t xml:space="preserve">Súríy-i-Haykal (Súrah of the Temple)</w:t>
      </w:r>
    </w:p>
  </w:footnote>
  <w:footnote w:id="385">
    <w:p>
      <w:pPr>
        <w:pStyle w:val="FootnoteText"/>
      </w:pPr>
      <w:r>
        <w:rPr>
          <w:rStyle w:val="FootnoteReference"/>
        </w:rPr>
        <w:footnoteRef/>
      </w:r>
      <w:r>
        <w:t xml:space="preserve"> </w:t>
      </w:r>
      <w:r>
        <w:t xml:space="preserve">The Hidden Words of Arabic #31</w:t>
      </w:r>
    </w:p>
  </w:footnote>
  <w:footnote w:id="386">
    <w:p>
      <w:pPr>
        <w:pStyle w:val="FootnoteText"/>
      </w:pPr>
      <w:r>
        <w:rPr>
          <w:rStyle w:val="FootnoteReference"/>
        </w:rPr>
        <w:footnoteRef/>
      </w:r>
      <w:r>
        <w:t xml:space="preserve"> </w:t>
      </w:r>
      <w:r>
        <w:t xml:space="preserve">Kitáb-i-Aqdas #5</w:t>
      </w:r>
    </w:p>
  </w:footnote>
  <w:footnote w:id="387">
    <w:p>
      <w:pPr>
        <w:pStyle w:val="FootnoteText"/>
      </w:pPr>
      <w:r>
        <w:rPr>
          <w:rStyle w:val="FootnoteReference"/>
        </w:rPr>
        <w:footnoteRef/>
      </w:r>
      <w:r>
        <w:t xml:space="preserve"> </w:t>
      </w:r>
      <w:r>
        <w:t xml:space="preserve">Kitáb-i-Aqdas #136</w:t>
      </w:r>
    </w:p>
  </w:footnote>
  <w:footnote w:id="388">
    <w:p>
      <w:pPr>
        <w:pStyle w:val="FootnoteText"/>
      </w:pPr>
      <w:r>
        <w:rPr>
          <w:rStyle w:val="FootnoteReference"/>
        </w:rPr>
        <w:footnoteRef/>
      </w:r>
      <w:r>
        <w:t xml:space="preserve"> </w:t>
      </w:r>
      <w:r>
        <w:t xml:space="preserve">Kitáb-i-Aqdas #137</w:t>
      </w:r>
    </w:p>
  </w:footnote>
  <w:footnote w:id="390">
    <w:p>
      <w:pPr>
        <w:pStyle w:val="FootnoteText"/>
      </w:pPr>
      <w:r>
        <w:rPr>
          <w:rStyle w:val="FootnoteReference"/>
        </w:rPr>
        <w:footnoteRef/>
      </w:r>
      <w:r>
        <w:t xml:space="preserve"> </w:t>
      </w:r>
      <w:r>
        <w:t xml:space="preserve">Kitáb-i-Aqdas #136</w:t>
      </w:r>
    </w:p>
  </w:footnote>
  <w:footnote w:id="391">
    <w:p>
      <w:pPr>
        <w:pStyle w:val="FootnoteText"/>
      </w:pPr>
      <w:r>
        <w:rPr>
          <w:rStyle w:val="FootnoteReference"/>
        </w:rPr>
        <w:footnoteRef/>
      </w:r>
      <w:r>
        <w:t xml:space="preserve"> </w:t>
      </w:r>
      <w:r>
        <w:t xml:space="preserve">The Persian Bayán Váḥid 8 Gate 6</w:t>
      </w:r>
    </w:p>
  </w:footnote>
  <w:footnote w:id="393">
    <w:p>
      <w:pPr>
        <w:pStyle w:val="FootnoteText"/>
      </w:pPr>
      <w:r>
        <w:rPr>
          <w:rStyle w:val="FootnoteReference"/>
        </w:rPr>
        <w:footnoteRef/>
      </w:r>
      <w:r>
        <w:t xml:space="preserve"> </w:t>
      </w:r>
      <w:r>
        <w:t xml:space="preserve">Kitáb-i-Aqdas #137</w:t>
      </w:r>
    </w:p>
  </w:footnote>
  <w:footnote w:id="395">
    <w:p>
      <w:pPr>
        <w:pStyle w:val="FootnoteText"/>
      </w:pPr>
      <w:r>
        <w:rPr>
          <w:rStyle w:val="FootnoteReference"/>
        </w:rPr>
        <w:footnoteRef/>
      </w:r>
      <w:r>
        <w:t xml:space="preserve"> </w:t>
      </w:r>
      <w:r>
        <w:t xml:space="preserve">Kitáb-i-Aqdas #33</w:t>
      </w:r>
    </w:p>
  </w:footnote>
  <w:footnote w:id="397">
    <w:p>
      <w:pPr>
        <w:pStyle w:val="FootnoteText"/>
      </w:pPr>
      <w:r>
        <w:rPr>
          <w:rStyle w:val="FootnoteReference"/>
        </w:rPr>
        <w:footnoteRef/>
      </w:r>
      <w:r>
        <w:t xml:space="preserve"> </w:t>
      </w:r>
      <w:r>
        <w:t xml:space="preserve">The Súríy-i-Haykal (To the King of Paris)</w:t>
      </w:r>
    </w:p>
  </w:footnote>
  <w:footnote w:id="398">
    <w:p>
      <w:pPr>
        <w:pStyle w:val="FootnoteText"/>
      </w:pPr>
      <w:r>
        <w:rPr>
          <w:rStyle w:val="FootnoteReference"/>
        </w:rPr>
        <w:footnoteRef/>
      </w:r>
      <w:r>
        <w:t xml:space="preserve"> </w:t>
      </w:r>
      <w:r>
        <w:t xml:space="preserve">Kitáb-i-Aqdas #148</w:t>
      </w:r>
    </w:p>
  </w:footnote>
  <w:footnote w:id="399">
    <w:p>
      <w:pPr>
        <w:pStyle w:val="FootnoteText"/>
      </w:pPr>
      <w:r>
        <w:rPr>
          <w:rStyle w:val="FootnoteReference"/>
        </w:rPr>
        <w:footnoteRef/>
      </w:r>
      <w:r>
        <w:t xml:space="preserve"> </w:t>
      </w:r>
      <w:r>
        <w:t xml:space="preserve">Kitáb-i-Aqdas #40</w:t>
      </w:r>
    </w:p>
  </w:footnote>
  <w:footnote w:id="401">
    <w:p>
      <w:pPr>
        <w:pStyle w:val="FootnoteText"/>
      </w:pPr>
      <w:r>
        <w:rPr>
          <w:rStyle w:val="FootnoteReference"/>
        </w:rPr>
        <w:footnoteRef/>
      </w:r>
      <w:r>
        <w:t xml:space="preserve"> </w:t>
      </w:r>
      <w:r>
        <w:t xml:space="preserve">The Súríy-i-Haykal-i-Haykal (To the King of Paris)</w:t>
      </w:r>
    </w:p>
  </w:footnote>
  <w:footnote w:id="404">
    <w:p>
      <w:pPr>
        <w:pStyle w:val="FootnoteText"/>
      </w:pPr>
      <w:r>
        <w:rPr>
          <w:rStyle w:val="FootnoteReference"/>
        </w:rPr>
        <w:footnoteRef/>
      </w:r>
      <w:r>
        <w:t xml:space="preserve"> </w:t>
      </w:r>
      <w:r>
        <w:t xml:space="preserve">The Persian Bayán: Váḥid 1 Gate 9</w:t>
      </w:r>
    </w:p>
  </w:footnote>
  <w:footnote w:id="405">
    <w:p>
      <w:pPr>
        <w:pStyle w:val="FootnoteText"/>
      </w:pPr>
      <w:r>
        <w:rPr>
          <w:rStyle w:val="FootnoteReference"/>
        </w:rPr>
        <w:footnoteRef/>
      </w:r>
      <w:r>
        <w:t xml:space="preserve"> </w:t>
      </w:r>
      <w:r>
        <w:t xml:space="preserve">BH11176 and BH00393</w:t>
      </w:r>
    </w:p>
  </w:footnote>
  <w:footnote w:id="407">
    <w:p>
      <w:pPr>
        <w:pStyle w:val="FootnoteText"/>
      </w:pPr>
      <w:r>
        <w:rPr>
          <w:rStyle w:val="FootnoteReference"/>
        </w:rPr>
        <w:footnoteRef/>
      </w:r>
      <w:r>
        <w:t xml:space="preserve"> </w:t>
      </w:r>
      <w:r>
        <w:t xml:space="preserve">Asl-i-Kullu’l-Khayr (Essence of All Good)</w:t>
      </w:r>
    </w:p>
  </w:footnote>
  <w:footnote w:id="409">
    <w:p>
      <w:pPr>
        <w:pStyle w:val="FootnoteText"/>
      </w:pPr>
      <w:r>
        <w:rPr>
          <w:rStyle w:val="FootnoteReference"/>
        </w:rPr>
        <w:footnoteRef/>
      </w:r>
      <w:r>
        <w:t xml:space="preserve"> </w:t>
      </w:r>
      <w:r>
        <w:t xml:space="preserve">The Hidden Words of Arabic #23</w:t>
      </w:r>
    </w:p>
  </w:footnote>
  <w:footnote w:id="422">
    <w:p>
      <w:pPr>
        <w:pStyle w:val="FootnoteText"/>
      </w:pPr>
      <w:r>
        <w:rPr>
          <w:rStyle w:val="FootnoteReference"/>
        </w:rPr>
        <w:footnoteRef/>
      </w:r>
      <w:r>
        <w:t xml:space="preserve"> </w:t>
      </w:r>
      <w:r>
        <w:t xml:space="preserve">Kitáb-i-Aqdas #4</w:t>
      </w:r>
    </w:p>
  </w:footnote>
  <w:footnote w:id="423">
    <w:p>
      <w:pPr>
        <w:pStyle w:val="FootnoteText"/>
      </w:pPr>
      <w:r>
        <w:rPr>
          <w:rStyle w:val="FootnoteReference"/>
        </w:rPr>
        <w:footnoteRef/>
      </w:r>
      <w:r>
        <w:t xml:space="preserve"> </w:t>
      </w:r>
      <w:r>
        <w:t xml:space="preserve">Kitáb-i-Aqdas #132</w:t>
      </w:r>
    </w:p>
  </w:footnote>
  <w:footnote w:id="424">
    <w:p>
      <w:pPr>
        <w:pStyle w:val="FootnoteText"/>
      </w:pPr>
      <w:r>
        <w:rPr>
          <w:rStyle w:val="FootnoteReference"/>
        </w:rPr>
        <w:footnoteRef/>
      </w:r>
      <w:r>
        <w:t xml:space="preserve"> </w:t>
      </w:r>
      <w:r>
        <w:t xml:space="preserve">Kitáb-i-Aqdas #15</w:t>
      </w:r>
    </w:p>
  </w:footnote>
  <w:footnote w:id="425">
    <w:p>
      <w:pPr>
        <w:pStyle w:val="FootnoteText"/>
      </w:pPr>
      <w:r>
        <w:rPr>
          <w:rStyle w:val="FootnoteReference"/>
        </w:rPr>
        <w:footnoteRef/>
      </w:r>
      <w:r>
        <w:t xml:space="preserve"> </w:t>
      </w:r>
      <w:r>
        <w:t xml:space="preserve">Lawḥ-i-Madínatu’t-Tawḥíd (Tablet of the City of Unity)</w:t>
      </w:r>
    </w:p>
  </w:footnote>
  <w:footnote w:id="427">
    <w:p>
      <w:pPr>
        <w:pStyle w:val="FootnoteText"/>
      </w:pPr>
      <w:r>
        <w:rPr>
          <w:rStyle w:val="FootnoteReference"/>
        </w:rPr>
        <w:footnoteRef/>
      </w:r>
      <w:r>
        <w:t xml:space="preserve"> </w:t>
      </w:r>
      <w:r>
        <w:t xml:space="preserve">Kitáb-i-Aqdas #115</w:t>
      </w:r>
    </w:p>
  </w:footnote>
  <w:footnote w:id="428">
    <w:p>
      <w:pPr>
        <w:pStyle w:val="FootnoteText"/>
      </w:pPr>
      <w:r>
        <w:rPr>
          <w:rStyle w:val="FootnoteReference"/>
        </w:rPr>
        <w:footnoteRef/>
      </w:r>
      <w:r>
        <w:t xml:space="preserve"> </w:t>
      </w:r>
      <w:r>
        <w:t xml:space="preserve">Kitáb-i-Aqdas #31</w:t>
      </w:r>
    </w:p>
  </w:footnote>
  <w:footnote w:id="429">
    <w:p>
      <w:pPr>
        <w:pStyle w:val="FootnoteText"/>
      </w:pPr>
      <w:r>
        <w:rPr>
          <w:rStyle w:val="FootnoteReference"/>
        </w:rPr>
        <w:footnoteRef/>
      </w:r>
      <w:r>
        <w:t xml:space="preserve"> </w:t>
      </w:r>
      <w:r>
        <w:t xml:space="preserve">Kitáb-i-Aqdas #150</w:t>
      </w:r>
    </w:p>
  </w:footnote>
  <w:footnote w:id="430">
    <w:p>
      <w:pPr>
        <w:pStyle w:val="FootnoteText"/>
      </w:pPr>
      <w:r>
        <w:rPr>
          <w:rStyle w:val="FootnoteReference"/>
        </w:rPr>
        <w:footnoteRef/>
      </w:r>
      <w:r>
        <w:t xml:space="preserve"> </w:t>
      </w:r>
      <w:r>
        <w:t xml:space="preserve">BH00054</w:t>
      </w:r>
    </w:p>
  </w:footnote>
  <w:footnote w:id="431">
    <w:p>
      <w:pPr>
        <w:pStyle w:val="FootnoteText"/>
      </w:pPr>
      <w:r>
        <w:rPr>
          <w:rStyle w:val="FootnoteReference"/>
        </w:rPr>
        <w:footnoteRef/>
      </w:r>
      <w:r>
        <w:t xml:space="preserve"> </w:t>
      </w:r>
      <w:r>
        <w:t xml:space="preserve">BH01006</w:t>
      </w:r>
    </w:p>
  </w:footnote>
  <w:footnote w:id="432">
    <w:p>
      <w:pPr>
        <w:pStyle w:val="FootnoteText"/>
      </w:pPr>
      <w:r>
        <w:rPr>
          <w:rStyle w:val="FootnoteReference"/>
        </w:rPr>
        <w:footnoteRef/>
      </w:r>
      <w:r>
        <w:t xml:space="preserve"> </w:t>
      </w:r>
      <w:r>
        <w:t xml:space="preserve">BH10993</w:t>
      </w:r>
    </w:p>
  </w:footnote>
  <w:footnote w:id="433">
    <w:p>
      <w:pPr>
        <w:pStyle w:val="FootnoteText"/>
      </w:pPr>
      <w:r>
        <w:rPr>
          <w:rStyle w:val="FootnoteReference"/>
        </w:rPr>
        <w:footnoteRef/>
      </w:r>
      <w:r>
        <w:t xml:space="preserve"> </w:t>
      </w:r>
      <w:r>
        <w:t xml:space="preserve">BH00123</w:t>
      </w:r>
    </w:p>
  </w:footnote>
  <w:footnote w:id="434">
    <w:p>
      <w:pPr>
        <w:pStyle w:val="FootnoteText"/>
      </w:pPr>
      <w:r>
        <w:rPr>
          <w:rStyle w:val="FootnoteReference"/>
        </w:rPr>
        <w:footnoteRef/>
      </w:r>
      <w:r>
        <w:t xml:space="preserve"> </w:t>
      </w:r>
      <w:r>
        <w:t xml:space="preserve">BH00230</w:t>
      </w:r>
    </w:p>
  </w:footnote>
  <w:footnote w:id="436">
    <w:p>
      <w:pPr>
        <w:pStyle w:val="FootnoteText"/>
      </w:pPr>
      <w:r>
        <w:rPr>
          <w:rStyle w:val="FootnoteReference"/>
        </w:rPr>
        <w:footnoteRef/>
      </w:r>
      <w:r>
        <w:t xml:space="preserve"> </w:t>
      </w:r>
      <w:r>
        <w:t xml:space="preserve">Kitáb-i-Aqdas #32</w:t>
      </w:r>
    </w:p>
  </w:footnote>
  <w:footnote w:id="437">
    <w:p>
      <w:pPr>
        <w:pStyle w:val="FootnoteText"/>
      </w:pPr>
      <w:r>
        <w:rPr>
          <w:rStyle w:val="FootnoteReference"/>
        </w:rPr>
        <w:footnoteRef/>
      </w:r>
      <w:r>
        <w:t xml:space="preserve"> </w:t>
      </w:r>
      <w:r>
        <w:t xml:space="preserve">BH00250</w:t>
      </w:r>
    </w:p>
  </w:footnote>
  <w:footnote w:id="440">
    <w:p>
      <w:pPr>
        <w:pStyle w:val="FootnoteText"/>
      </w:pPr>
      <w:r>
        <w:rPr>
          <w:rStyle w:val="FootnoteReference"/>
        </w:rPr>
        <w:footnoteRef/>
      </w:r>
      <w:r>
        <w:t xml:space="preserve"> </w:t>
      </w:r>
      <w:r>
        <w:t xml:space="preserve">Kitáb-i-Aqdas #97</w:t>
      </w:r>
    </w:p>
  </w:footnote>
  <w:footnote w:id="441">
    <w:p>
      <w:pPr>
        <w:pStyle w:val="FootnoteText"/>
      </w:pPr>
      <w:r>
        <w:rPr>
          <w:rStyle w:val="FootnoteReference"/>
        </w:rPr>
        <w:footnoteRef/>
      </w:r>
      <w:r>
        <w:t xml:space="preserve"> </w:t>
      </w:r>
      <w:r>
        <w:t xml:space="preserve">BH00214</w:t>
      </w:r>
    </w:p>
  </w:footnote>
  <w:footnote w:id="442">
    <w:p>
      <w:pPr>
        <w:pStyle w:val="FootnoteText"/>
      </w:pPr>
      <w:r>
        <w:rPr>
          <w:rStyle w:val="FootnoteReference"/>
        </w:rPr>
        <w:footnoteRef/>
      </w:r>
      <w:r>
        <w:t xml:space="preserve"> </w:t>
      </w:r>
      <w:r>
        <w:t xml:space="preserve">BH00077</w:t>
      </w:r>
    </w:p>
  </w:footnote>
  <w:footnote w:id="443">
    <w:p>
      <w:pPr>
        <w:pStyle w:val="FootnoteText"/>
      </w:pPr>
      <w:r>
        <w:rPr>
          <w:rStyle w:val="FootnoteReference"/>
        </w:rPr>
        <w:footnoteRef/>
      </w:r>
      <w:r>
        <w:t xml:space="preserve"> </w:t>
      </w:r>
      <w:r>
        <w:t xml:space="preserve">Kitáb-i-Aqdas #42</w:t>
      </w:r>
    </w:p>
  </w:footnote>
  <w:footnote w:id="444">
    <w:p>
      <w:pPr>
        <w:pStyle w:val="FootnoteText"/>
      </w:pPr>
      <w:r>
        <w:rPr>
          <w:rStyle w:val="FootnoteReference"/>
        </w:rPr>
        <w:footnoteRef/>
      </w:r>
      <w:r>
        <w:t xml:space="preserve"> </w:t>
      </w:r>
      <w:r>
        <w:t xml:space="preserve">BH00234</w:t>
      </w:r>
    </w:p>
  </w:footnote>
  <w:footnote w:id="445">
    <w:p>
      <w:pPr>
        <w:pStyle w:val="FootnoteText"/>
      </w:pPr>
      <w:r>
        <w:rPr>
          <w:rStyle w:val="FootnoteReference"/>
        </w:rPr>
        <w:footnoteRef/>
      </w:r>
      <w:r>
        <w:t xml:space="preserve"> </w:t>
      </w:r>
      <w:r>
        <w:t xml:space="preserve">BH00086</w:t>
      </w:r>
    </w:p>
  </w:footnote>
  <w:footnote w:id="446">
    <w:p>
      <w:pPr>
        <w:pStyle w:val="FootnoteText"/>
      </w:pPr>
      <w:r>
        <w:rPr>
          <w:rStyle w:val="FootnoteReference"/>
        </w:rPr>
        <w:footnoteRef/>
      </w:r>
      <w:r>
        <w:t xml:space="preserve"> </w:t>
      </w:r>
      <w:r>
        <w:t xml:space="preserve">BH00158</w:t>
      </w:r>
    </w:p>
  </w:footnote>
  <w:footnote w:id="447">
    <w:p>
      <w:pPr>
        <w:pStyle w:val="FootnoteText"/>
      </w:pPr>
      <w:r>
        <w:rPr>
          <w:rStyle w:val="FootnoteReference"/>
        </w:rPr>
        <w:footnoteRef/>
      </w:r>
      <w:r>
        <w:t xml:space="preserve"> </w:t>
      </w:r>
      <w:r>
        <w:t xml:space="preserve">BH00261</w:t>
      </w:r>
    </w:p>
  </w:footnote>
  <w:footnote w:id="448">
    <w:p>
      <w:pPr>
        <w:pStyle w:val="FootnoteText"/>
      </w:pPr>
      <w:r>
        <w:rPr>
          <w:rStyle w:val="FootnoteReference"/>
        </w:rPr>
        <w:footnoteRef/>
      </w:r>
      <w:r>
        <w:t xml:space="preserve"> </w:t>
      </w:r>
      <w:r>
        <w:t xml:space="preserve">BH00282</w:t>
      </w:r>
    </w:p>
  </w:footnote>
  <w:footnote w:id="450">
    <w:p>
      <w:pPr>
        <w:pStyle w:val="FootnoteText"/>
      </w:pPr>
      <w:r>
        <w:rPr>
          <w:rStyle w:val="FootnoteReference"/>
        </w:rPr>
        <w:footnoteRef/>
      </w:r>
      <w:r>
        <w:t xml:space="preserve"> </w:t>
      </w:r>
      <w:r>
        <w:t xml:space="preserve">Kitáb-i-Aqdas #33</w:t>
      </w:r>
    </w:p>
  </w:footnote>
  <w:footnote w:id="452">
    <w:p>
      <w:pPr>
        <w:pStyle w:val="FootnoteText"/>
      </w:pPr>
      <w:r>
        <w:rPr>
          <w:rStyle w:val="FootnoteReference"/>
        </w:rPr>
        <w:footnoteRef/>
      </w:r>
      <w:r>
        <w:t xml:space="preserve"> </w:t>
      </w:r>
      <w:r>
        <w:t xml:space="preserve">Kitáb-i-Aqdas #146</w:t>
      </w:r>
    </w:p>
  </w:footnote>
  <w:footnote w:id="453">
    <w:p>
      <w:pPr>
        <w:pStyle w:val="FootnoteText"/>
      </w:pPr>
      <w:r>
        <w:rPr>
          <w:rStyle w:val="FootnoteReference"/>
        </w:rPr>
        <w:footnoteRef/>
      </w:r>
      <w:r>
        <w:t xml:space="preserve"> </w:t>
      </w:r>
      <w:r>
        <w:t xml:space="preserve">BH00069 and BH11399</w:t>
      </w:r>
    </w:p>
  </w:footnote>
  <w:footnote w:id="454">
    <w:p>
      <w:pPr>
        <w:pStyle w:val="FootnoteText"/>
      </w:pPr>
      <w:r>
        <w:rPr>
          <w:rStyle w:val="FootnoteReference"/>
        </w:rPr>
        <w:footnoteRef/>
      </w:r>
      <w:r>
        <w:t xml:space="preserve"> </w:t>
      </w:r>
      <w:r>
        <w:t xml:space="preserve">Surah al-Tawbah (9:60)</w:t>
      </w:r>
    </w:p>
  </w:footnote>
  <w:footnote w:id="455">
    <w:p>
      <w:pPr>
        <w:pStyle w:val="FootnoteText"/>
      </w:pPr>
      <w:r>
        <w:rPr>
          <w:rStyle w:val="FootnoteReference"/>
        </w:rPr>
        <w:footnoteRef/>
      </w:r>
      <w:r>
        <w:t xml:space="preserve"> </w:t>
      </w:r>
      <w:r>
        <w:t xml:space="preserve">Surah al-Muzzammil (73:20)</w:t>
      </w:r>
    </w:p>
  </w:footnote>
  <w:footnote w:id="456">
    <w:p>
      <w:pPr>
        <w:pStyle w:val="FootnoteText"/>
      </w:pPr>
      <w:r>
        <w:rPr>
          <w:rStyle w:val="FootnoteReference"/>
        </w:rPr>
        <w:footnoteRef/>
      </w:r>
      <w:r>
        <w:t xml:space="preserve"> </w:t>
      </w:r>
      <w:r>
        <w:t xml:space="preserve">Surah al-Mu’minún (23:4)</w:t>
      </w:r>
    </w:p>
  </w:footnote>
  <w:footnote w:id="459">
    <w:p>
      <w:pPr>
        <w:pStyle w:val="FootnoteText"/>
      </w:pPr>
      <w:r>
        <w:rPr>
          <w:rStyle w:val="FootnoteReference"/>
        </w:rPr>
        <w:footnoteRef/>
      </w:r>
      <w:r>
        <w:t xml:space="preserve"> </w:t>
      </w:r>
      <w:r>
        <w:t xml:space="preserve">Persian Bayán Váḥid 5, Gate 3</w:t>
      </w:r>
    </w:p>
  </w:footnote>
  <w:footnote w:id="460">
    <w:p>
      <w:pPr>
        <w:pStyle w:val="FootnoteText"/>
      </w:pPr>
      <w:r>
        <w:rPr>
          <w:rStyle w:val="FootnoteReference"/>
        </w:rPr>
        <w:footnoteRef/>
      </w:r>
      <w:r>
        <w:t xml:space="preserve"> </w:t>
      </w:r>
      <w:r>
        <w:t xml:space="preserve">The Book of Reckoning</w:t>
      </w:r>
    </w:p>
  </w:footnote>
  <w:footnote w:id="461">
    <w:p>
      <w:pPr>
        <w:pStyle w:val="FootnoteText"/>
      </w:pPr>
      <w:r>
        <w:rPr>
          <w:rStyle w:val="FootnoteReference"/>
        </w:rPr>
        <w:footnoteRef/>
      </w:r>
      <w:r>
        <w:t xml:space="preserve"> </w:t>
      </w:r>
      <w:r>
        <w:t xml:space="preserve">Kitáb-i-Aqdas #16</w:t>
      </w:r>
    </w:p>
  </w:footnote>
  <w:footnote w:id="462">
    <w:p>
      <w:pPr>
        <w:pStyle w:val="FootnoteText"/>
      </w:pPr>
      <w:r>
        <w:rPr>
          <w:rStyle w:val="FootnoteReference"/>
        </w:rPr>
        <w:footnoteRef/>
      </w:r>
      <w:r>
        <w:t xml:space="preserve"> </w:t>
      </w:r>
      <w:r>
        <w:t xml:space="preserve">Kitáb-i-Aqdas #111</w:t>
      </w:r>
    </w:p>
  </w:footnote>
  <w:footnote w:id="463">
    <w:p>
      <w:pPr>
        <w:pStyle w:val="FootnoteText"/>
      </w:pPr>
      <w:r>
        <w:rPr>
          <w:rStyle w:val="FootnoteReference"/>
        </w:rPr>
        <w:footnoteRef/>
      </w:r>
      <w:r>
        <w:t xml:space="preserve"> </w:t>
      </w:r>
      <w:r>
        <w:t xml:space="preserve">Persian Bayán Váḥid 6, Gate 14</w:t>
      </w:r>
    </w:p>
  </w:footnote>
  <w:footnote w:id="464">
    <w:p>
      <w:pPr>
        <w:pStyle w:val="FootnoteText"/>
      </w:pPr>
      <w:r>
        <w:rPr>
          <w:rStyle w:val="FootnoteReference"/>
        </w:rPr>
        <w:footnoteRef/>
      </w:r>
      <w:r>
        <w:t xml:space="preserve"> </w:t>
      </w:r>
      <w:r>
        <w:t xml:space="preserve">BH03908</w:t>
      </w:r>
    </w:p>
  </w:footnote>
  <w:footnote w:id="465">
    <w:p>
      <w:pPr>
        <w:pStyle w:val="FootnoteText"/>
      </w:pPr>
      <w:r>
        <w:rPr>
          <w:rStyle w:val="FootnoteReference"/>
        </w:rPr>
        <w:footnoteRef/>
      </w:r>
      <w:r>
        <w:t xml:space="preserve"> </w:t>
      </w:r>
      <w:r>
        <w:t xml:space="preserve">BH00215</w:t>
      </w:r>
    </w:p>
  </w:footnote>
  <w:footnote w:id="467">
    <w:p>
      <w:pPr>
        <w:pStyle w:val="FootnoteText"/>
      </w:pPr>
      <w:r>
        <w:rPr>
          <w:rStyle w:val="FootnoteReference"/>
        </w:rPr>
        <w:footnoteRef/>
      </w:r>
      <w:r>
        <w:t xml:space="preserve"> </w:t>
      </w:r>
      <w:r>
        <w:t xml:space="preserve">BH02278</w:t>
      </w:r>
    </w:p>
  </w:footnote>
  <w:footnote w:id="468">
    <w:p>
      <w:pPr>
        <w:pStyle w:val="FootnoteText"/>
      </w:pPr>
      <w:r>
        <w:rPr>
          <w:rStyle w:val="FootnoteReference"/>
        </w:rPr>
        <w:footnoteRef/>
      </w:r>
      <w:r>
        <w:t xml:space="preserve"> </w:t>
      </w:r>
      <w:r>
        <w:t xml:space="preserve">Kitáb-i-Aqdas #75</w:t>
      </w:r>
    </w:p>
  </w:footnote>
  <w:footnote w:id="469">
    <w:p>
      <w:pPr>
        <w:pStyle w:val="FootnoteText"/>
      </w:pPr>
      <w:r>
        <w:rPr>
          <w:rStyle w:val="FootnoteReference"/>
        </w:rPr>
        <w:footnoteRef/>
      </w:r>
      <w:r>
        <w:t xml:space="preserve"> </w:t>
      </w:r>
      <w:r>
        <w:t xml:space="preserve">BH00856</w:t>
      </w:r>
    </w:p>
  </w:footnote>
  <w:footnote w:id="471">
    <w:p>
      <w:pPr>
        <w:pStyle w:val="FootnoteText"/>
      </w:pPr>
      <w:r>
        <w:rPr>
          <w:rStyle w:val="FootnoteReference"/>
        </w:rPr>
        <w:footnoteRef/>
      </w:r>
      <w:r>
        <w:t xml:space="preserve"> </w:t>
      </w:r>
      <w:r>
        <w:t xml:space="preserve">Kitáb-i-Aqdas #16</w:t>
      </w:r>
    </w:p>
  </w:footnote>
  <w:footnote w:id="472">
    <w:p>
      <w:pPr>
        <w:pStyle w:val="FootnoteText"/>
      </w:pPr>
      <w:r>
        <w:rPr>
          <w:rStyle w:val="FootnoteReference"/>
        </w:rPr>
        <w:footnoteRef/>
      </w:r>
      <w:r>
        <w:t xml:space="preserve"> </w:t>
      </w:r>
      <w:r>
        <w:t xml:space="preserve">BH01228</w:t>
      </w:r>
    </w:p>
  </w:footnote>
  <w:footnote w:id="474">
    <w:p>
      <w:pPr>
        <w:pStyle w:val="FootnoteText"/>
      </w:pPr>
      <w:r>
        <w:rPr>
          <w:rStyle w:val="FootnoteReference"/>
        </w:rPr>
        <w:footnoteRef/>
      </w:r>
      <w:r>
        <w:t xml:space="preserve"> </w:t>
      </w:r>
      <w:r>
        <w:t xml:space="preserve">Kitáb-i-Aqdas #16</w:t>
      </w:r>
    </w:p>
  </w:footnote>
  <w:footnote w:id="475">
    <w:p>
      <w:pPr>
        <w:pStyle w:val="FootnoteText"/>
      </w:pPr>
      <w:r>
        <w:rPr>
          <w:rStyle w:val="FootnoteReference"/>
        </w:rPr>
        <w:footnoteRef/>
      </w:r>
      <w:r>
        <w:t xml:space="preserve"> </w:t>
      </w:r>
      <w:r>
        <w:t xml:space="preserve">Arabic Bayán Váḥid 8 Gate 18</w:t>
      </w:r>
    </w:p>
  </w:footnote>
  <w:footnote w:id="476">
    <w:p>
      <w:pPr>
        <w:pStyle w:val="FootnoteText"/>
      </w:pPr>
      <w:r>
        <w:rPr>
          <w:rStyle w:val="FootnoteReference"/>
        </w:rPr>
        <w:footnoteRef/>
      </w:r>
      <w:r>
        <w:t xml:space="preserve"> </w:t>
      </w:r>
      <w:r>
        <w:t xml:space="preserve">BH08745</w:t>
      </w:r>
    </w:p>
  </w:footnote>
  <w:footnote w:id="478">
    <w:p>
      <w:pPr>
        <w:pStyle w:val="FootnoteText"/>
      </w:pPr>
      <w:r>
        <w:rPr>
          <w:rStyle w:val="FootnoteReference"/>
        </w:rPr>
        <w:footnoteRef/>
      </w:r>
      <w:r>
        <w:t xml:space="preserve"> </w:t>
      </w:r>
      <w:r>
        <w:t xml:space="preserve">Kitáb-i-Aqdas #57</w:t>
      </w:r>
    </w:p>
  </w:footnote>
  <w:footnote w:id="493">
    <w:p>
      <w:pPr>
        <w:pStyle w:val="FootnoteText"/>
      </w:pPr>
      <w:r>
        <w:rPr>
          <w:rStyle w:val="FootnoteReference"/>
        </w:rPr>
        <w:footnoteRef/>
      </w:r>
      <w:r>
        <w:t xml:space="preserve"> </w:t>
      </w:r>
      <w:r>
        <w:t xml:space="preserve">The Persian Bayan Vahid 3 Gate 10</w:t>
      </w:r>
    </w:p>
  </w:footnote>
  <w:footnote w:id="495">
    <w:p>
      <w:pPr>
        <w:pStyle w:val="FootnoteText"/>
      </w:pPr>
      <w:r>
        <w:rPr>
          <w:rStyle w:val="FootnoteReference"/>
        </w:rPr>
        <w:footnoteRef/>
      </w:r>
      <w:r>
        <w:t xml:space="preserve"> </w:t>
      </w:r>
      <w:r>
        <w:t xml:space="preserve">BH00103</w:t>
      </w:r>
    </w:p>
  </w:footnote>
  <w:footnote w:id="511">
    <w:p>
      <w:pPr>
        <w:pStyle w:val="FootnoteText"/>
      </w:pPr>
      <w:r>
        <w:rPr>
          <w:rStyle w:val="FootnoteReference"/>
        </w:rPr>
        <w:footnoteRef/>
      </w:r>
      <w:r>
        <w:t xml:space="preserve"> </w:t>
      </w:r>
      <w:r>
        <w:t xml:space="preserve">Kitáb-i-Aqdas #29</w:t>
      </w:r>
    </w:p>
  </w:footnote>
  <w:footnote w:id="512">
    <w:p>
      <w:pPr>
        <w:pStyle w:val="FootnoteText"/>
      </w:pPr>
      <w:r>
        <w:rPr>
          <w:rStyle w:val="FootnoteReference"/>
        </w:rPr>
        <w:footnoteRef/>
      </w:r>
      <w:r>
        <w:t xml:space="preserve"> </w:t>
      </w:r>
      <w:r>
        <w:t xml:space="preserve">Kitáb-i-Aqdas #2</w:t>
      </w:r>
    </w:p>
  </w:footnote>
  <w:footnote w:id="518">
    <w:p>
      <w:pPr>
        <w:pStyle w:val="FootnoteText"/>
      </w:pPr>
      <w:r>
        <w:rPr>
          <w:rStyle w:val="FootnoteReference"/>
        </w:rPr>
        <w:footnoteRef/>
      </w:r>
      <w:r>
        <w:t xml:space="preserve"> </w:t>
      </w:r>
      <w:r>
        <w:t xml:space="preserve">Kitáb-i-Aqdas #48</w:t>
      </w:r>
    </w:p>
  </w:footnote>
  <w:footnote w:id="519">
    <w:p>
      <w:pPr>
        <w:pStyle w:val="FootnoteText"/>
      </w:pPr>
      <w:r>
        <w:rPr>
          <w:rStyle w:val="FootnoteReference"/>
        </w:rPr>
        <w:footnoteRef/>
      </w:r>
      <w:r>
        <w:t xml:space="preserve"> </w:t>
      </w:r>
      <w:r>
        <w:t xml:space="preserve">Kitáb-i-Aqdas #65</w:t>
      </w:r>
    </w:p>
  </w:footnote>
  <w:footnote w:id="521">
    <w:p>
      <w:pPr>
        <w:pStyle w:val="FootnoteText"/>
      </w:pPr>
      <w:r>
        <w:rPr>
          <w:rStyle w:val="FootnoteReference"/>
        </w:rPr>
        <w:footnoteRef/>
      </w:r>
      <w:r>
        <w:t xml:space="preserve"> </w:t>
      </w:r>
      <w:r>
        <w:t xml:space="preserve">Kitáb-i-Aqdas #71</w:t>
      </w:r>
    </w:p>
  </w:footnote>
  <w:footnote w:id="522">
    <w:p>
      <w:pPr>
        <w:pStyle w:val="FootnoteText"/>
      </w:pPr>
      <w:r>
        <w:rPr>
          <w:rStyle w:val="FootnoteReference"/>
        </w:rPr>
        <w:footnoteRef/>
      </w:r>
      <w:r>
        <w:t xml:space="preserve"> </w:t>
      </w:r>
      <w:r>
        <w:t xml:space="preserve">Kitáb-i-Aqdas #64</w:t>
      </w:r>
    </w:p>
  </w:footnote>
  <w:footnote w:id="523">
    <w:p>
      <w:pPr>
        <w:pStyle w:val="FootnoteText"/>
      </w:pPr>
      <w:r>
        <w:rPr>
          <w:rStyle w:val="FootnoteReference"/>
        </w:rPr>
        <w:footnoteRef/>
      </w:r>
      <w:r>
        <w:t xml:space="preserve"> </w:t>
      </w:r>
      <w:r>
        <w:t xml:space="preserve">Kitáb-i-Aqdas #10 &amp; #27</w:t>
      </w:r>
    </w:p>
  </w:footnote>
  <w:footnote w:id="525">
    <w:p>
      <w:pPr>
        <w:pStyle w:val="FootnoteText"/>
      </w:pPr>
      <w:r>
        <w:rPr>
          <w:rStyle w:val="FootnoteReference"/>
        </w:rPr>
        <w:footnoteRef/>
      </w:r>
      <w:r>
        <w:t xml:space="preserve"> </w:t>
      </w:r>
      <w:r>
        <w:t xml:space="preserve">Kitáb-i-Aqdas #74</w:t>
      </w:r>
    </w:p>
  </w:footnote>
  <w:footnote w:id="527">
    <w:p>
      <w:pPr>
        <w:pStyle w:val="FootnoteText"/>
      </w:pPr>
      <w:r>
        <w:rPr>
          <w:rStyle w:val="FootnoteReference"/>
        </w:rPr>
        <w:footnoteRef/>
      </w:r>
      <w:r>
        <w:t xml:space="preserve"> </w:t>
      </w:r>
      <w:r>
        <w:t xml:space="preserve">Kitáb-i-Aqdas #107</w:t>
      </w:r>
    </w:p>
  </w:footnote>
  <w:footnote w:id="529">
    <w:p>
      <w:pPr>
        <w:pStyle w:val="FootnoteText"/>
      </w:pPr>
      <w:r>
        <w:rPr>
          <w:rStyle w:val="FootnoteReference"/>
        </w:rPr>
        <w:footnoteRef/>
      </w:r>
      <w:r>
        <w:t xml:space="preserve"> </w:t>
      </w:r>
      <w:r>
        <w:t xml:space="preserve">Kitáb-i-Aqdas #65</w:t>
      </w:r>
    </w:p>
  </w:footnote>
  <w:footnote w:id="531">
    <w:p>
      <w:pPr>
        <w:pStyle w:val="FootnoteText"/>
      </w:pPr>
      <w:r>
        <w:rPr>
          <w:rStyle w:val="FootnoteReference"/>
        </w:rPr>
        <w:footnoteRef/>
      </w:r>
      <w:r>
        <w:t xml:space="preserve"> </w:t>
      </w:r>
      <w:r>
        <w:t xml:space="preserve">Kitáb-i-Aqdas #148</w:t>
      </w:r>
    </w:p>
  </w:footnote>
  <w:footnote w:id="532">
    <w:p>
      <w:pPr>
        <w:pStyle w:val="FootnoteText"/>
      </w:pPr>
      <w:r>
        <w:rPr>
          <w:rStyle w:val="FootnoteReference"/>
        </w:rPr>
        <w:footnoteRef/>
      </w:r>
      <w:r>
        <w:t xml:space="preserve"> </w:t>
      </w:r>
      <w:r>
        <w:t xml:space="preserve">Kitáb-i-Aqdas #19</w:t>
      </w:r>
    </w:p>
  </w:footnote>
  <w:footnote w:id="537">
    <w:p>
      <w:pPr>
        <w:pStyle w:val="FootnoteText"/>
      </w:pPr>
      <w:r>
        <w:rPr>
          <w:rStyle w:val="FootnoteReference"/>
        </w:rPr>
        <w:footnoteRef/>
      </w:r>
      <w:r>
        <w:t xml:space="preserve"> </w:t>
      </w:r>
      <w:r>
        <w:t xml:space="preserve">Kitáb-i-Aqdas #119</w:t>
      </w:r>
    </w:p>
  </w:footnote>
  <w:footnote w:id="538">
    <w:p>
      <w:pPr>
        <w:pStyle w:val="FootnoteText"/>
      </w:pPr>
      <w:r>
        <w:rPr>
          <w:rStyle w:val="FootnoteReference"/>
        </w:rPr>
        <w:footnoteRef/>
      </w:r>
      <w:r>
        <w:t xml:space="preserve"> </w:t>
      </w:r>
      <w:r>
        <w:t xml:space="preserve">Kitáb-i-Aqdas #155 &amp; #190</w:t>
      </w:r>
    </w:p>
  </w:footnote>
  <w:footnote w:id="540">
    <w:p>
      <w:pPr>
        <w:pStyle w:val="FootnoteText"/>
      </w:pPr>
      <w:r>
        <w:rPr>
          <w:rStyle w:val="FootnoteReference"/>
        </w:rPr>
        <w:footnoteRef/>
      </w:r>
      <w:r>
        <w:t xml:space="preserve"> </w:t>
      </w:r>
      <w:r>
        <w:t xml:space="preserve">Kitáb-i-Aqdas #70</w:t>
      </w:r>
    </w:p>
  </w:footnote>
  <w:footnote w:id="544">
    <w:p>
      <w:pPr>
        <w:pStyle w:val="FootnoteText"/>
      </w:pPr>
      <w:r>
        <w:rPr>
          <w:rStyle w:val="FootnoteReference"/>
        </w:rPr>
        <w:footnoteRef/>
      </w:r>
      <w:r>
        <w:t xml:space="preserve"> </w:t>
      </w:r>
      <w:r>
        <w:t xml:space="preserve">Kitáb-i-Aqdas #113</w:t>
      </w:r>
    </w:p>
  </w:footnote>
  <w:footnote w:id="546">
    <w:p>
      <w:pPr>
        <w:pStyle w:val="FootnoteText"/>
      </w:pPr>
      <w:r>
        <w:rPr>
          <w:rStyle w:val="FootnoteReference"/>
        </w:rPr>
        <w:footnoteRef/>
      </w:r>
      <w:r>
        <w:t xml:space="preserve"> </w:t>
      </w:r>
      <w:r>
        <w:t xml:space="preserve">Kitáb-i-Aqdas #20 and #109</w:t>
      </w:r>
    </w:p>
  </w:footnote>
  <w:footnote w:id="550">
    <w:p>
      <w:pPr>
        <w:pStyle w:val="FootnoteText"/>
      </w:pPr>
      <w:r>
        <w:rPr>
          <w:rStyle w:val="FootnoteReference"/>
        </w:rPr>
        <w:footnoteRef/>
      </w:r>
      <w:r>
        <w:t xml:space="preserve"> </w:t>
      </w:r>
      <w:r>
        <w:t xml:space="preserve">Kitáb-i-Aqdas #48</w:t>
      </w:r>
    </w:p>
  </w:footnote>
  <w:footnote w:id="551">
    <w:p>
      <w:pPr>
        <w:pStyle w:val="FootnoteText"/>
      </w:pPr>
      <w:r>
        <w:rPr>
          <w:rStyle w:val="FootnoteReference"/>
        </w:rPr>
        <w:footnoteRef/>
      </w:r>
      <w:r>
        <w:t xml:space="preserve"> </w:t>
      </w:r>
      <w:r>
        <w:t xml:space="preserve">Kitáb-i-Aqdas #118</w:t>
      </w:r>
    </w:p>
  </w:footnote>
  <w:footnote w:id="552">
    <w:p>
      <w:pPr>
        <w:pStyle w:val="FootnoteText"/>
      </w:pPr>
      <w:r>
        <w:rPr>
          <w:rStyle w:val="FootnoteReference"/>
        </w:rPr>
        <w:footnoteRef/>
      </w:r>
      <w:r>
        <w:t xml:space="preserve"> </w:t>
      </w:r>
      <w:r>
        <w:t xml:space="preserve">Kitáb-i-Aqdas #77</w:t>
      </w:r>
    </w:p>
  </w:footnote>
  <w:footnote w:id="553">
    <w:p>
      <w:pPr>
        <w:pStyle w:val="FootnoteText"/>
      </w:pPr>
      <w:r>
        <w:rPr>
          <w:rStyle w:val="FootnoteReference"/>
        </w:rPr>
        <w:footnoteRef/>
      </w:r>
      <w:r>
        <w:t xml:space="preserve"> </w:t>
      </w:r>
      <w:r>
        <w:t xml:space="preserve">Kitáb-i-Aqdas #33</w:t>
      </w:r>
    </w:p>
  </w:footnote>
  <w:footnote w:id="554">
    <w:p>
      <w:pPr>
        <w:pStyle w:val="FootnoteText"/>
      </w:pPr>
      <w:r>
        <w:rPr>
          <w:rStyle w:val="FootnoteReference"/>
        </w:rPr>
        <w:footnoteRef/>
      </w:r>
      <w:r>
        <w:t xml:space="preserve"> </w:t>
      </w:r>
      <w:r>
        <w:t xml:space="preserve">Kitáb-i-Aqdas #150</w:t>
      </w:r>
    </w:p>
  </w:footnote>
  <w:footnote w:id="559">
    <w:p>
      <w:pPr>
        <w:pStyle w:val="FootnoteText"/>
      </w:pPr>
      <w:r>
        <w:rPr>
          <w:rStyle w:val="FootnoteReference"/>
        </w:rPr>
        <w:footnoteRef/>
      </w:r>
      <w:r>
        <w:t xml:space="preserve"> </w:t>
      </w:r>
      <w:r>
        <w:t xml:space="preserve">Kitáb-i-Aqdas #95</w:t>
      </w:r>
    </w:p>
  </w:footnote>
  <w:footnote w:id="561">
    <w:p>
      <w:pPr>
        <w:pStyle w:val="FootnoteText"/>
      </w:pPr>
      <w:r>
        <w:rPr>
          <w:rStyle w:val="FootnoteReference"/>
        </w:rPr>
        <w:footnoteRef/>
      </w:r>
      <w:r>
        <w:t xml:space="preserve"> </w:t>
      </w:r>
      <w:r>
        <w:t xml:space="preserve">Kitáb-i-Aqdas #10</w:t>
      </w:r>
    </w:p>
  </w:footnote>
  <w:footnote w:id="562">
    <w:p>
      <w:pPr>
        <w:pStyle w:val="FootnoteText"/>
      </w:pPr>
      <w:r>
        <w:rPr>
          <w:rStyle w:val="FootnoteReference"/>
        </w:rPr>
        <w:footnoteRef/>
      </w:r>
      <w:r>
        <w:t xml:space="preserve"> </w:t>
      </w:r>
      <w:r>
        <w:t xml:space="preserve">Kitáb-i-Aqdas #27</w:t>
      </w:r>
    </w:p>
  </w:footnote>
  <w:footnote w:id="564">
    <w:p>
      <w:pPr>
        <w:pStyle w:val="FootnoteText"/>
      </w:pPr>
      <w:r>
        <w:rPr>
          <w:rStyle w:val="FootnoteReference"/>
        </w:rPr>
        <w:footnoteRef/>
      </w:r>
      <w:r>
        <w:t xml:space="preserve"> </w:t>
      </w:r>
      <w:r>
        <w:t xml:space="preserve">The Persian Bayan Vahid 8, Gate 18</w:t>
      </w:r>
    </w:p>
  </w:footnote>
  <w:footnote w:id="565">
    <w:p>
      <w:pPr>
        <w:pStyle w:val="FootnoteText"/>
      </w:pPr>
      <w:r>
        <w:rPr>
          <w:rStyle w:val="FootnoteReference"/>
        </w:rPr>
        <w:footnoteRef/>
      </w:r>
      <w:r>
        <w:t xml:space="preserve"> </w:t>
      </w:r>
      <w:r>
        <w:t xml:space="preserve">Tafsir-i-Hu (Interpretation of</w:t>
      </w:r>
      <w:r>
        <w:t xml:space="preserve"> </w:t>
      </w:r>
      <w:r>
        <w:t xml:space="preserve">“</w:t>
      </w:r>
      <w:r>
        <w:t xml:space="preserve">He</w:t>
      </w:r>
      <w:r>
        <w:t xml:space="preserve">”</w:t>
      </w:r>
      <w:r>
        <w:t xml:space="preserve">)</w:t>
      </w:r>
    </w:p>
  </w:footnote>
  <w:footnote w:id="566">
    <w:p>
      <w:pPr>
        <w:pStyle w:val="FootnoteText"/>
      </w:pPr>
      <w:r>
        <w:rPr>
          <w:rStyle w:val="FootnoteReference"/>
        </w:rPr>
        <w:footnoteRef/>
      </w:r>
      <w:r>
        <w:t xml:space="preserve"> </w:t>
      </w:r>
      <w:r>
        <w:t xml:space="preserve">The Book of the Five Modes (BB00005)</w:t>
      </w:r>
    </w:p>
  </w:footnote>
  <w:footnote w:id="568">
    <w:p>
      <w:pPr>
        <w:pStyle w:val="FootnoteText"/>
      </w:pPr>
      <w:r>
        <w:rPr>
          <w:rStyle w:val="FootnoteReference"/>
        </w:rPr>
        <w:footnoteRef/>
      </w:r>
      <w:r>
        <w:t xml:space="preserve"> </w:t>
      </w:r>
      <w:r>
        <w:t xml:space="preserve">BB00083</w:t>
      </w:r>
    </w:p>
  </w:footnote>
  <w:footnote w:id="570">
    <w:p>
      <w:pPr>
        <w:pStyle w:val="FootnoteText"/>
      </w:pPr>
      <w:r>
        <w:rPr>
          <w:rStyle w:val="FootnoteReference"/>
        </w:rPr>
        <w:footnoteRef/>
      </w:r>
      <w:r>
        <w:t xml:space="preserve"> </w:t>
      </w:r>
      <w:r>
        <w:t xml:space="preserve">The Arabic Bayan Vahid 10, Gate 14</w:t>
      </w:r>
    </w:p>
  </w:footnote>
  <w:footnote w:id="571">
    <w:p>
      <w:pPr>
        <w:pStyle w:val="FootnoteText"/>
      </w:pPr>
      <w:r>
        <w:rPr>
          <w:rStyle w:val="FootnoteReference"/>
        </w:rPr>
        <w:footnoteRef/>
      </w:r>
      <w:r>
        <w:t xml:space="preserve"> </w:t>
      </w:r>
      <w:r>
        <w:t xml:space="preserve">The Book of Names</w:t>
      </w:r>
    </w:p>
  </w:footnote>
  <w:footnote w:id="572">
    <w:p>
      <w:pPr>
        <w:pStyle w:val="FootnoteText"/>
      </w:pPr>
      <w:r>
        <w:rPr>
          <w:rStyle w:val="FootnoteReference"/>
        </w:rPr>
        <w:footnoteRef/>
      </w:r>
      <w:r>
        <w:t xml:space="preserve"> </w:t>
      </w:r>
      <w:r>
        <w:t xml:space="preserve">The Persian Bayan Vahid 5, Gate 4</w:t>
      </w:r>
    </w:p>
  </w:footnote>
  <w:footnote w:id="574">
    <w:p>
      <w:pPr>
        <w:pStyle w:val="FootnoteText"/>
      </w:pPr>
      <w:r>
        <w:rPr>
          <w:rStyle w:val="FootnoteReference"/>
        </w:rPr>
        <w:footnoteRef/>
      </w:r>
      <w:r>
        <w:t xml:space="preserve"> </w:t>
      </w:r>
      <w:r>
        <w:t xml:space="preserve">BB00083</w:t>
      </w:r>
    </w:p>
  </w:footnote>
  <w:footnote w:id="578">
    <w:p>
      <w:pPr>
        <w:pStyle w:val="FootnoteText"/>
      </w:pPr>
      <w:r>
        <w:rPr>
          <w:rStyle w:val="FootnoteReference"/>
        </w:rPr>
        <w:footnoteRef/>
      </w:r>
      <w:r>
        <w:t xml:space="preserve"> </w:t>
      </w:r>
      <w:r>
        <w:t xml:space="preserve">BH00601</w:t>
      </w:r>
    </w:p>
  </w:footnote>
  <w:footnote w:id="585">
    <w:p>
      <w:pPr>
        <w:pStyle w:val="FootnoteText"/>
      </w:pPr>
      <w:r>
        <w:rPr>
          <w:rStyle w:val="FootnoteReference"/>
        </w:rPr>
        <w:footnoteRef/>
      </w:r>
      <w:r>
        <w:t xml:space="preserve"> </w:t>
      </w:r>
      <w:r>
        <w:t xml:space="preserve">Lawḥ-i-Siráj</w:t>
      </w:r>
    </w:p>
  </w:footnote>
  <w:footnote w:id="586">
    <w:p>
      <w:pPr>
        <w:pStyle w:val="FootnoteText"/>
      </w:pPr>
      <w:r>
        <w:rPr>
          <w:rStyle w:val="FootnoteReference"/>
        </w:rPr>
        <w:footnoteRef/>
      </w:r>
      <w:r>
        <w:t xml:space="preserve"> </w:t>
      </w:r>
      <w:r>
        <w:t xml:space="preserve">Kitáb-i-Badí‘</w:t>
      </w:r>
    </w:p>
  </w:footnote>
  <w:footnote w:id="587">
    <w:p>
      <w:pPr>
        <w:pStyle w:val="FootnoteText"/>
      </w:pPr>
      <w:r>
        <w:rPr>
          <w:rStyle w:val="FootnoteReference"/>
        </w:rPr>
        <w:footnoteRef/>
      </w:r>
      <w:r>
        <w:t xml:space="preserve"> </w:t>
      </w:r>
      <w:r>
        <w:t xml:space="preserve">BH00302</w:t>
      </w:r>
    </w:p>
  </w:footnote>
  <w:footnote w:id="588">
    <w:p>
      <w:pPr>
        <w:pStyle w:val="FootnoteText"/>
      </w:pPr>
      <w:r>
        <w:rPr>
          <w:rStyle w:val="FootnoteReference"/>
        </w:rPr>
        <w:footnoteRef/>
      </w:r>
      <w:r>
        <w:t xml:space="preserve"> </w:t>
      </w:r>
      <w:r>
        <w:t xml:space="preserve">Words of Paradise</w:t>
      </w:r>
    </w:p>
  </w:footnote>
  <w:footnote w:id="590">
    <w:p>
      <w:pPr>
        <w:pStyle w:val="FootnoteText"/>
      </w:pPr>
      <w:r>
        <w:rPr>
          <w:rStyle w:val="FootnoteReference"/>
        </w:rPr>
        <w:footnoteRef/>
      </w:r>
      <w:r>
        <w:t xml:space="preserve"> </w:t>
      </w:r>
      <w:r>
        <w:t xml:space="preserve">Kitáb-i-Badí‘</w:t>
      </w:r>
    </w:p>
  </w:footnote>
  <w:footnote w:id="591">
    <w:p>
      <w:pPr>
        <w:pStyle w:val="FootnoteText"/>
      </w:pPr>
      <w:r>
        <w:rPr>
          <w:rStyle w:val="FootnoteReference"/>
        </w:rPr>
        <w:footnoteRef/>
      </w:r>
      <w:r>
        <w:t xml:space="preserve"> </w:t>
      </w:r>
      <w:r>
        <w:t xml:space="preserve">BH00035</w:t>
      </w:r>
    </w:p>
  </w:footnote>
  <w:footnote w:id="592">
    <w:p>
      <w:pPr>
        <w:pStyle w:val="FootnoteText"/>
      </w:pPr>
      <w:r>
        <w:rPr>
          <w:rStyle w:val="FootnoteReference"/>
        </w:rPr>
        <w:footnoteRef/>
      </w:r>
      <w:r>
        <w:t xml:space="preserve"> </w:t>
      </w:r>
      <w:r>
        <w:t xml:space="preserve">BH00123</w:t>
      </w:r>
    </w:p>
  </w:footnote>
  <w:footnote w:id="597">
    <w:p>
      <w:pPr>
        <w:pStyle w:val="FootnoteText"/>
      </w:pPr>
      <w:r>
        <w:rPr>
          <w:rStyle w:val="FootnoteReference"/>
        </w:rPr>
        <w:footnoteRef/>
      </w:r>
      <w:r>
        <w:t xml:space="preserve"> </w:t>
      </w:r>
      <w:r>
        <w:t xml:space="preserve">Kitáb-i-Aqdas #41</w:t>
      </w:r>
    </w:p>
  </w:footnote>
  <w:footnote w:id="598">
    <w:p>
      <w:pPr>
        <w:pStyle w:val="FootnoteText"/>
      </w:pPr>
      <w:r>
        <w:rPr>
          <w:rStyle w:val="FootnoteReference"/>
        </w:rPr>
        <w:footnoteRef/>
      </w:r>
      <w:r>
        <w:t xml:space="preserve"> </w:t>
      </w:r>
      <w:r>
        <w:t xml:space="preserve">Lawḥ-i-Dunyá (Tablet of the World)</w:t>
      </w:r>
    </w:p>
  </w:footnote>
  <w:footnote w:id="600">
    <w:p>
      <w:pPr>
        <w:pStyle w:val="FootnoteText"/>
      </w:pPr>
      <w:r>
        <w:rPr>
          <w:rStyle w:val="FootnoteReference"/>
        </w:rPr>
        <w:footnoteRef/>
      </w:r>
      <w:r>
        <w:t xml:space="preserve"> </w:t>
      </w:r>
      <w:r>
        <w:t xml:space="preserve">Kitáb-i-Aqdas #70</w:t>
      </w:r>
    </w:p>
  </w:footnote>
  <w:footnote w:id="602">
    <w:p>
      <w:pPr>
        <w:pStyle w:val="FootnoteText"/>
      </w:pPr>
      <w:r>
        <w:rPr>
          <w:rStyle w:val="FootnoteReference"/>
        </w:rPr>
        <w:footnoteRef/>
      </w:r>
      <w:r>
        <w:t xml:space="preserve"> </w:t>
      </w:r>
      <w:r>
        <w:t xml:space="preserve">Lawḥ-i-Dunyá (Tablet of the World)</w:t>
      </w:r>
    </w:p>
  </w:footnote>
  <w:footnote w:id="603">
    <w:p>
      <w:pPr>
        <w:pStyle w:val="FootnoteText"/>
      </w:pPr>
      <w:r>
        <w:rPr>
          <w:rStyle w:val="FootnoteReference"/>
        </w:rPr>
        <w:footnoteRef/>
      </w:r>
      <w:r>
        <w:t xml:space="preserve"> </w:t>
      </w:r>
      <w:r>
        <w:t xml:space="preserve">Kitáb-i-Aqdas #148</w:t>
      </w:r>
    </w:p>
  </w:footnote>
  <w:footnote w:id="604">
    <w:p>
      <w:pPr>
        <w:pStyle w:val="FootnoteText"/>
      </w:pPr>
      <w:r>
        <w:rPr>
          <w:rStyle w:val="FootnoteReference"/>
        </w:rPr>
        <w:footnoteRef/>
      </w:r>
      <w:r>
        <w:t xml:space="preserve"> </w:t>
      </w:r>
      <w:r>
        <w:t xml:space="preserve">Kitáb-i-Aqdas #165</w:t>
      </w:r>
    </w:p>
  </w:footnote>
  <w:footnote w:id="605">
    <w:p>
      <w:pPr>
        <w:pStyle w:val="FootnoteText"/>
      </w:pPr>
      <w:r>
        <w:rPr>
          <w:rStyle w:val="FootnoteReference"/>
        </w:rPr>
        <w:footnoteRef/>
      </w:r>
      <w:r>
        <w:t xml:space="preserve"> </w:t>
      </w:r>
      <w:r>
        <w:t xml:space="preserve">Kitáb-i-Aqdas #184</w:t>
      </w:r>
    </w:p>
  </w:footnote>
  <w:footnote w:id="606">
    <w:p>
      <w:pPr>
        <w:pStyle w:val="FootnoteText"/>
      </w:pPr>
      <w:r>
        <w:rPr>
          <w:rStyle w:val="FootnoteReference"/>
        </w:rPr>
        <w:footnoteRef/>
      </w:r>
      <w:r>
        <w:t xml:space="preserve"> </w:t>
      </w:r>
      <w:r>
        <w:t xml:space="preserve">Kitáb-i-Aqdas #165</w:t>
      </w:r>
    </w:p>
  </w:footnote>
  <w:footnote w:id="608">
    <w:p>
      <w:pPr>
        <w:pStyle w:val="FootnoteText"/>
      </w:pPr>
      <w:r>
        <w:rPr>
          <w:rStyle w:val="FootnoteReference"/>
        </w:rPr>
        <w:footnoteRef/>
      </w:r>
      <w:r>
        <w:t xml:space="preserve"> </w:t>
      </w:r>
      <w:r>
        <w:t xml:space="preserve">Kitáb-i-Aqdas #2</w:t>
      </w:r>
    </w:p>
  </w:footnote>
  <w:footnote w:id="609">
    <w:p>
      <w:pPr>
        <w:pStyle w:val="FootnoteText"/>
      </w:pPr>
      <w:r>
        <w:rPr>
          <w:rStyle w:val="FootnoteReference"/>
        </w:rPr>
        <w:footnoteRef/>
      </w:r>
      <w:r>
        <w:t xml:space="preserve"> </w:t>
      </w:r>
      <w:r>
        <w:t xml:space="preserve">Kitáb-i-Aqdas #58</w:t>
      </w:r>
    </w:p>
  </w:footnote>
  <w:footnote w:id="612">
    <w:p>
      <w:pPr>
        <w:pStyle w:val="FootnoteText"/>
      </w:pPr>
      <w:r>
        <w:rPr>
          <w:rStyle w:val="FootnoteReference"/>
        </w:rPr>
        <w:footnoteRef/>
      </w:r>
      <w:r>
        <w:t xml:space="preserve"> </w:t>
      </w:r>
      <w:r>
        <w:t xml:space="preserve">Kitáb-i-Aqdas #86 and #170</w:t>
      </w:r>
    </w:p>
  </w:footnote>
  <w:footnote w:id="613">
    <w:p>
      <w:pPr>
        <w:pStyle w:val="FootnoteText"/>
      </w:pPr>
      <w:r>
        <w:rPr>
          <w:rStyle w:val="FootnoteReference"/>
        </w:rPr>
        <w:footnoteRef/>
      </w:r>
      <w:r>
        <w:t xml:space="preserve"> </w:t>
      </w:r>
      <w:r>
        <w:t xml:space="preserve">Hidden Words of Arabic #68</w:t>
      </w:r>
    </w:p>
  </w:footnote>
  <w:footnote w:id="614">
    <w:p>
      <w:pPr>
        <w:pStyle w:val="FootnoteText"/>
      </w:pPr>
      <w:r>
        <w:rPr>
          <w:rStyle w:val="FootnoteReference"/>
        </w:rPr>
        <w:footnoteRef/>
      </w:r>
      <w:r>
        <w:t xml:space="preserve"> </w:t>
      </w:r>
      <w:r>
        <w:t xml:space="preserve">Kitáb-i-Aqdas #86</w:t>
      </w:r>
    </w:p>
  </w:footnote>
  <w:footnote w:id="615">
    <w:p>
      <w:pPr>
        <w:pStyle w:val="FootnoteText"/>
      </w:pPr>
      <w:r>
        <w:rPr>
          <w:rStyle w:val="FootnoteReference"/>
        </w:rPr>
        <w:footnoteRef/>
      </w:r>
      <w:r>
        <w:t xml:space="preserve"> </w:t>
      </w:r>
      <w:r>
        <w:t xml:space="preserve">Kitáb-i-Aqdas #83</w:t>
      </w:r>
    </w:p>
  </w:footnote>
  <w:footnote w:id="616">
    <w:p>
      <w:pPr>
        <w:pStyle w:val="FootnoteText"/>
      </w:pPr>
      <w:r>
        <w:rPr>
          <w:rStyle w:val="FootnoteReference"/>
        </w:rPr>
        <w:footnoteRef/>
      </w:r>
      <w:r>
        <w:t xml:space="preserve"> </w:t>
      </w:r>
      <w:r>
        <w:t xml:space="preserve">Kitáb-i-Aqdas #39</w:t>
      </w:r>
    </w:p>
  </w:footnote>
  <w:footnote w:id="617">
    <w:p>
      <w:pPr>
        <w:pStyle w:val="FootnoteText"/>
      </w:pPr>
      <w:r>
        <w:rPr>
          <w:rStyle w:val="FootnoteReference"/>
        </w:rPr>
        <w:footnoteRef/>
      </w:r>
      <w:r>
        <w:t xml:space="preserve"> </w:t>
      </w:r>
      <w:r>
        <w:t xml:space="preserve">Kitáb-i-Aqdas #89</w:t>
      </w:r>
    </w:p>
  </w:footnote>
  <w:footnote w:id="618">
    <w:p>
      <w:pPr>
        <w:pStyle w:val="FootnoteText"/>
      </w:pPr>
      <w:r>
        <w:rPr>
          <w:rStyle w:val="FootnoteReference"/>
        </w:rPr>
        <w:footnoteRef/>
      </w:r>
      <w:r>
        <w:t xml:space="preserve"> </w:t>
      </w:r>
      <w:r>
        <w:t xml:space="preserve">Kitáb-i-Aqdas #29</w:t>
      </w:r>
    </w:p>
  </w:footnote>
  <w:footnote w:id="620">
    <w:p>
      <w:pPr>
        <w:pStyle w:val="FootnoteText"/>
      </w:pPr>
      <w:r>
        <w:rPr>
          <w:rStyle w:val="FootnoteReference"/>
        </w:rPr>
        <w:footnoteRef/>
      </w:r>
      <w:r>
        <w:t xml:space="preserve"> </w:t>
      </w:r>
      <w:r>
        <w:t xml:space="preserve">Kitáb-i-Aqdas #41</w:t>
      </w:r>
    </w:p>
  </w:footnote>
  <w:footnote w:id="621">
    <w:p>
      <w:pPr>
        <w:pStyle w:val="FootnoteText"/>
      </w:pPr>
      <w:r>
        <w:rPr>
          <w:rStyle w:val="FootnoteReference"/>
        </w:rPr>
        <w:footnoteRef/>
      </w:r>
      <w:r>
        <w:t xml:space="preserve"> </w:t>
      </w:r>
      <w:r>
        <w:t xml:space="preserve">Kitáb-i-Aqdas #137</w:t>
      </w:r>
    </w:p>
  </w:footnote>
  <w:footnote w:id="623">
    <w:p>
      <w:pPr>
        <w:pStyle w:val="FootnoteText"/>
      </w:pPr>
      <w:r>
        <w:rPr>
          <w:rStyle w:val="FootnoteReference"/>
        </w:rPr>
        <w:footnoteRef/>
      </w:r>
      <w:r>
        <w:t xml:space="preserve"> </w:t>
      </w:r>
      <w:r>
        <w:t xml:space="preserve">Kitáb-i-Aqdas #58</w:t>
      </w:r>
    </w:p>
  </w:footnote>
  <w:footnote w:id="624">
    <w:p>
      <w:pPr>
        <w:pStyle w:val="FootnoteText"/>
      </w:pPr>
      <w:r>
        <w:rPr>
          <w:rStyle w:val="FootnoteReference"/>
        </w:rPr>
        <w:footnoteRef/>
      </w:r>
      <w:r>
        <w:t xml:space="preserve"> </w:t>
      </w:r>
      <w:r>
        <w:t xml:space="preserve">Kitáb-i-Aqdas #148</w:t>
      </w:r>
    </w:p>
  </w:footnote>
  <w:footnote w:id="625">
    <w:p>
      <w:pPr>
        <w:pStyle w:val="FootnoteText"/>
      </w:pPr>
      <w:r>
        <w:rPr>
          <w:rStyle w:val="FootnoteReference"/>
        </w:rPr>
        <w:footnoteRef/>
      </w:r>
      <w:r>
        <w:t xml:space="preserve"> </w:t>
      </w:r>
      <w:r>
        <w:t xml:space="preserve">Kitáb-i-Aqdas #89</w:t>
      </w:r>
    </w:p>
  </w:footnote>
  <w:footnote w:id="627">
    <w:p>
      <w:pPr>
        <w:pStyle w:val="FootnoteText"/>
      </w:pPr>
      <w:r>
        <w:rPr>
          <w:rStyle w:val="FootnoteReference"/>
        </w:rPr>
        <w:footnoteRef/>
      </w:r>
      <w:r>
        <w:t xml:space="preserve"> </w:t>
      </w:r>
      <w:r>
        <w:t xml:space="preserve">Kitáb-i-Aqdas #17</w:t>
      </w:r>
    </w:p>
  </w:footnote>
  <w:footnote w:id="628">
    <w:p>
      <w:pPr>
        <w:pStyle w:val="FootnoteText"/>
      </w:pPr>
      <w:r>
        <w:rPr>
          <w:rStyle w:val="FootnoteReference"/>
        </w:rPr>
        <w:footnoteRef/>
      </w:r>
      <w:r>
        <w:t xml:space="preserve"> </w:t>
      </w:r>
      <w:r>
        <w:t xml:space="preserve">Kitáb-i-Aqdas #155</w:t>
      </w:r>
    </w:p>
  </w:footnote>
  <w:footnote w:id="629">
    <w:p>
      <w:pPr>
        <w:pStyle w:val="FootnoteText"/>
      </w:pPr>
      <w:r>
        <w:rPr>
          <w:rStyle w:val="FootnoteReference"/>
        </w:rPr>
        <w:footnoteRef/>
      </w:r>
      <w:r>
        <w:t xml:space="preserve"> </w:t>
      </w:r>
      <w:r>
        <w:t xml:space="preserve">Súríy-i-Haykal</w:t>
      </w:r>
    </w:p>
  </w:footnote>
  <w:footnote w:id="630">
    <w:p>
      <w:pPr>
        <w:pStyle w:val="FootnoteText"/>
      </w:pPr>
      <w:r>
        <w:rPr>
          <w:rStyle w:val="FootnoteReference"/>
        </w:rPr>
        <w:footnoteRef/>
      </w:r>
      <w:r>
        <w:t xml:space="preserve"> </w:t>
      </w:r>
      <w:r>
        <w:t xml:space="preserve">Kitáb-i-Aqdas #107</w:t>
      </w:r>
    </w:p>
  </w:footnote>
  <w:footnote w:id="631">
    <w:p>
      <w:pPr>
        <w:pStyle w:val="FootnoteText"/>
      </w:pPr>
      <w:r>
        <w:rPr>
          <w:rStyle w:val="FootnoteReference"/>
        </w:rPr>
        <w:footnoteRef/>
      </w:r>
      <w:r>
        <w:t xml:space="preserve"> </w:t>
      </w:r>
      <w:r>
        <w:t xml:space="preserve">Kitáb-i-Aqdas #107</w:t>
      </w:r>
    </w:p>
  </w:footnote>
  <w:footnote w:id="632">
    <w:p>
      <w:pPr>
        <w:pStyle w:val="FootnoteText"/>
      </w:pPr>
      <w:r>
        <w:rPr>
          <w:rStyle w:val="FootnoteReference"/>
        </w:rPr>
        <w:footnoteRef/>
      </w:r>
      <w:r>
        <w:t xml:space="preserve"> </w:t>
      </w:r>
      <w:r>
        <w:t xml:space="preserve">Kitáb-i-Aqdas #19</w:t>
      </w:r>
    </w:p>
  </w:footnote>
  <w:footnote w:id="633">
    <w:p>
      <w:pPr>
        <w:pStyle w:val="FootnoteText"/>
      </w:pPr>
      <w:r>
        <w:rPr>
          <w:rStyle w:val="FootnoteReference"/>
        </w:rPr>
        <w:footnoteRef/>
      </w:r>
      <w:r>
        <w:t xml:space="preserve"> </w:t>
      </w:r>
      <w:r>
        <w:t xml:space="preserve">Kitáb-i-Aqdas #51</w:t>
      </w:r>
    </w:p>
  </w:footnote>
  <w:footnote w:id="637">
    <w:p>
      <w:pPr>
        <w:pStyle w:val="FootnoteText"/>
      </w:pPr>
      <w:r>
        <w:rPr>
          <w:rStyle w:val="FootnoteReference"/>
        </w:rPr>
        <w:footnoteRef/>
      </w:r>
      <w:r>
        <w:t xml:space="preserve"> </w:t>
      </w:r>
      <w:r>
        <w:t xml:space="preserve">Kitáb-i-Aqdas #122</w:t>
      </w:r>
    </w:p>
  </w:footnote>
  <w:footnote w:id="640">
    <w:p>
      <w:pPr>
        <w:pStyle w:val="FootnoteText"/>
      </w:pPr>
      <w:r>
        <w:rPr>
          <w:rStyle w:val="FootnoteReference"/>
        </w:rPr>
        <w:footnoteRef/>
      </w:r>
      <w:r>
        <w:t xml:space="preserve"> </w:t>
      </w:r>
      <w:r>
        <w:t xml:space="preserve">Kitáb-i-Aqdas #38</w:t>
      </w:r>
    </w:p>
  </w:footnote>
  <w:footnote w:id="641">
    <w:p>
      <w:pPr>
        <w:pStyle w:val="FootnoteText"/>
      </w:pPr>
      <w:r>
        <w:rPr>
          <w:rStyle w:val="FootnoteReference"/>
        </w:rPr>
        <w:footnoteRef/>
      </w:r>
      <w:r>
        <w:t xml:space="preserve"> </w:t>
      </w:r>
      <w:r>
        <w:t xml:space="preserve">Kitáb-i-Aqdas #168</w:t>
      </w:r>
    </w:p>
  </w:footnote>
  <w:footnote w:id="642">
    <w:p>
      <w:pPr>
        <w:pStyle w:val="FootnoteText"/>
      </w:pPr>
      <w:r>
        <w:rPr>
          <w:rStyle w:val="FootnoteReference"/>
        </w:rPr>
        <w:footnoteRef/>
      </w:r>
      <w:r>
        <w:t xml:space="preserve"> </w:t>
      </w:r>
      <w:r>
        <w:t xml:space="preserve">Kitáb-i-Aqdas #75</w:t>
      </w:r>
    </w:p>
  </w:footnote>
  <w:footnote w:id="643">
    <w:p>
      <w:pPr>
        <w:pStyle w:val="FootnoteText"/>
      </w:pPr>
      <w:r>
        <w:rPr>
          <w:rStyle w:val="FootnoteReference"/>
        </w:rPr>
        <w:footnoteRef/>
      </w:r>
      <w:r>
        <w:t xml:space="preserve"> </w:t>
      </w:r>
      <w:r>
        <w:t xml:space="preserve">Kitáb-i-Aqdas #144</w:t>
      </w:r>
    </w:p>
  </w:footnote>
  <w:footnote w:id="644">
    <w:p>
      <w:pPr>
        <w:pStyle w:val="FootnoteText"/>
      </w:pPr>
      <w:r>
        <w:rPr>
          <w:rStyle w:val="FootnoteReference"/>
        </w:rPr>
        <w:footnoteRef/>
      </w:r>
      <w:r>
        <w:t xml:space="preserve"> </w:t>
      </w:r>
      <w:r>
        <w:t xml:space="preserve">Kitáb-i-Aqdas #75</w:t>
      </w:r>
    </w:p>
  </w:footnote>
  <w:footnote w:id="645">
    <w:p>
      <w:pPr>
        <w:pStyle w:val="FootnoteText"/>
      </w:pPr>
      <w:r>
        <w:rPr>
          <w:rStyle w:val="FootnoteReference"/>
        </w:rPr>
        <w:footnoteRef/>
      </w:r>
      <w:r>
        <w:t xml:space="preserve"> </w:t>
      </w:r>
      <w:r>
        <w:t xml:space="preserve">Kitáb-i-Aqdas #38</w:t>
      </w:r>
    </w:p>
  </w:footnote>
  <w:footnote w:id="646">
    <w:p>
      <w:pPr>
        <w:pStyle w:val="FootnoteText"/>
      </w:pPr>
      <w:r>
        <w:rPr>
          <w:rStyle w:val="FootnoteReference"/>
        </w:rPr>
        <w:footnoteRef/>
      </w:r>
      <w:r>
        <w:t xml:space="preserve"> </w:t>
      </w:r>
      <w:r>
        <w:t xml:space="preserve">Kitáb-i-Aqdas #118</w:t>
      </w:r>
    </w:p>
  </w:footnote>
  <w:footnote w:id="647">
    <w:p>
      <w:pPr>
        <w:pStyle w:val="FootnoteText"/>
      </w:pPr>
      <w:r>
        <w:rPr>
          <w:rStyle w:val="FootnoteReference"/>
        </w:rPr>
        <w:footnoteRef/>
      </w:r>
      <w:r>
        <w:t xml:space="preserve"> </w:t>
      </w:r>
      <w:r>
        <w:t xml:space="preserve">Kitáb-i-Aqdas #74</w:t>
      </w:r>
    </w:p>
  </w:footnote>
  <w:footnote w:id="648">
    <w:p>
      <w:pPr>
        <w:pStyle w:val="FootnoteText"/>
      </w:pPr>
      <w:r>
        <w:rPr>
          <w:rStyle w:val="FootnoteReference"/>
        </w:rPr>
        <w:footnoteRef/>
      </w:r>
      <w:r>
        <w:t xml:space="preserve"> </w:t>
      </w:r>
      <w:r>
        <w:t xml:space="preserve">Kitáb-i-Aqdas #132</w:t>
      </w:r>
    </w:p>
  </w:footnote>
  <w:footnote w:id="649">
    <w:p>
      <w:pPr>
        <w:pStyle w:val="FootnoteText"/>
      </w:pPr>
      <w:r>
        <w:rPr>
          <w:rStyle w:val="FootnoteReference"/>
        </w:rPr>
        <w:footnoteRef/>
      </w:r>
      <w:r>
        <w:t xml:space="preserve"> </w:t>
      </w:r>
      <w:r>
        <w:t xml:space="preserve">Kitáb-i-Aqdas #35</w:t>
      </w:r>
    </w:p>
  </w:footnote>
  <w:footnote w:id="650">
    <w:p>
      <w:pPr>
        <w:pStyle w:val="FootnoteText"/>
      </w:pPr>
      <w:r>
        <w:rPr>
          <w:rStyle w:val="FootnoteReference"/>
        </w:rPr>
        <w:footnoteRef/>
      </w:r>
      <w:r>
        <w:t xml:space="preserve"> </w:t>
      </w:r>
      <w:r>
        <w:t xml:space="preserve">Kitáb-i-Aqdas #177</w:t>
      </w:r>
    </w:p>
  </w:footnote>
  <w:footnote w:id="651">
    <w:p>
      <w:pPr>
        <w:pStyle w:val="FootnoteText"/>
      </w:pPr>
      <w:r>
        <w:rPr>
          <w:rStyle w:val="FootnoteReference"/>
        </w:rPr>
        <w:footnoteRef/>
      </w:r>
      <w:r>
        <w:t xml:space="preserve"> </w:t>
      </w:r>
      <w:r>
        <w:t xml:space="preserve">Kitáb-i-Aqdas #132</w:t>
      </w:r>
    </w:p>
  </w:footnote>
  <w:footnote w:id="652">
    <w:p>
      <w:pPr>
        <w:pStyle w:val="FootnoteText"/>
      </w:pPr>
      <w:r>
        <w:rPr>
          <w:rStyle w:val="FootnoteReference"/>
        </w:rPr>
        <w:footnoteRef/>
      </w:r>
      <w:r>
        <w:t xml:space="preserve"> </w:t>
      </w:r>
      <w:r>
        <w:t xml:space="preserve">Kitáb-i-Aqdas #117</w:t>
      </w:r>
    </w:p>
  </w:footnote>
  <w:footnote w:id="654">
    <w:p>
      <w:pPr>
        <w:pStyle w:val="FootnoteText"/>
      </w:pPr>
      <w:r>
        <w:rPr>
          <w:rStyle w:val="FootnoteReference"/>
        </w:rPr>
        <w:footnoteRef/>
      </w:r>
      <w:r>
        <w:t xml:space="preserve"> </w:t>
      </w:r>
      <w:r>
        <w:t xml:space="preserve">Kitáb-i-Aqdas #160</w:t>
      </w:r>
    </w:p>
  </w:footnote>
  <w:footnote w:id="655">
    <w:p>
      <w:pPr>
        <w:pStyle w:val="FootnoteText"/>
      </w:pPr>
      <w:r>
        <w:rPr>
          <w:rStyle w:val="FootnoteReference"/>
        </w:rPr>
        <w:footnoteRef/>
      </w:r>
      <w:r>
        <w:t xml:space="preserve"> </w:t>
      </w:r>
      <w:r>
        <w:t xml:space="preserve">Kitáb-i-Aqdas #31</w:t>
      </w:r>
    </w:p>
  </w:footnote>
  <w:footnote w:id="656">
    <w:p>
      <w:pPr>
        <w:pStyle w:val="FootnoteText"/>
      </w:pPr>
      <w:r>
        <w:rPr>
          <w:rStyle w:val="FootnoteReference"/>
        </w:rPr>
        <w:footnoteRef/>
      </w:r>
      <w:r>
        <w:t xml:space="preserve"> </w:t>
      </w:r>
      <w:r>
        <w:t xml:space="preserve">Kitáb-i-Aqdas #151</w:t>
      </w:r>
    </w:p>
  </w:footnote>
  <w:footnote w:id="657">
    <w:p>
      <w:pPr>
        <w:pStyle w:val="FootnoteText"/>
      </w:pPr>
      <w:r>
        <w:rPr>
          <w:rStyle w:val="FootnoteReference"/>
        </w:rPr>
        <w:footnoteRef/>
      </w:r>
      <w:r>
        <w:t xml:space="preserve"> </w:t>
      </w:r>
      <w:r>
        <w:t xml:space="preserve">Kitáb-i-Aqdas #30</w:t>
      </w:r>
    </w:p>
  </w:footnote>
  <w:footnote w:id="658">
    <w:p>
      <w:pPr>
        <w:pStyle w:val="FootnoteText"/>
      </w:pPr>
      <w:r>
        <w:rPr>
          <w:rStyle w:val="FootnoteReference"/>
        </w:rPr>
        <w:footnoteRef/>
      </w:r>
      <w:r>
        <w:t xml:space="preserve"> </w:t>
      </w:r>
      <w:r>
        <w:t xml:space="preserve">Kitáb-i-Aqdas #30</w:t>
      </w:r>
    </w:p>
  </w:footnote>
  <w:footnote w:id="659">
    <w:p>
      <w:pPr>
        <w:pStyle w:val="FootnoteText"/>
      </w:pPr>
      <w:r>
        <w:rPr>
          <w:rStyle w:val="FootnoteReference"/>
        </w:rPr>
        <w:footnoteRef/>
      </w:r>
      <w:r>
        <w:t xml:space="preserve"> </w:t>
      </w:r>
      <w:r>
        <w:t xml:space="preserve">Lawḥ-i-Bishárát #13</w:t>
      </w:r>
    </w:p>
  </w:footnote>
  <w:footnote w:id="661">
    <w:p>
      <w:pPr>
        <w:pStyle w:val="FootnoteText"/>
      </w:pPr>
      <w:r>
        <w:rPr>
          <w:rStyle w:val="FootnoteReference"/>
        </w:rPr>
        <w:footnoteRef/>
      </w:r>
      <w:r>
        <w:t xml:space="preserve"> </w:t>
      </w:r>
      <w:r>
        <w:t xml:space="preserve">Kitáb-i-Aqdas #73</w:t>
      </w:r>
    </w:p>
  </w:footnote>
  <w:footnote w:id="662">
    <w:p>
      <w:pPr>
        <w:pStyle w:val="FootnoteText"/>
      </w:pPr>
      <w:r>
        <w:rPr>
          <w:rStyle w:val="FootnoteReference"/>
        </w:rPr>
        <w:footnoteRef/>
      </w:r>
      <w:r>
        <w:t xml:space="preserve"> </w:t>
      </w:r>
      <w:r>
        <w:t xml:space="preserve">Kitáb-i-Aqdas #33</w:t>
      </w:r>
    </w:p>
  </w:footnote>
  <w:footnote w:id="663">
    <w:p>
      <w:pPr>
        <w:pStyle w:val="FootnoteText"/>
      </w:pPr>
      <w:r>
        <w:rPr>
          <w:rStyle w:val="FootnoteReference"/>
        </w:rPr>
        <w:footnoteRef/>
      </w:r>
      <w:r>
        <w:t xml:space="preserve"> </w:t>
      </w:r>
      <w:r>
        <w:t xml:space="preserve">Kitáb-i-Aqdas #16</w:t>
      </w:r>
    </w:p>
  </w:footnote>
  <w:footnote w:id="664">
    <w:p>
      <w:pPr>
        <w:pStyle w:val="FootnoteText"/>
      </w:pPr>
      <w:r>
        <w:rPr>
          <w:rStyle w:val="FootnoteReference"/>
        </w:rPr>
        <w:footnoteRef/>
      </w:r>
      <w:r>
        <w:t xml:space="preserve"> </w:t>
      </w:r>
      <w:r>
        <w:t xml:space="preserve">Kitáb-i-Aqdas #57</w:t>
      </w:r>
    </w:p>
  </w:footnote>
  <w:footnote w:id="665">
    <w:p>
      <w:pPr>
        <w:pStyle w:val="FootnoteText"/>
      </w:pPr>
      <w:r>
        <w:rPr>
          <w:rStyle w:val="FootnoteReference"/>
        </w:rPr>
        <w:footnoteRef/>
      </w:r>
      <w:r>
        <w:t xml:space="preserve"> </w:t>
      </w:r>
      <w:r>
        <w:t xml:space="preserve">Kitáb-i-Aqdas #156</w:t>
      </w:r>
    </w:p>
  </w:footnote>
  <w:footnote w:id="666">
    <w:p>
      <w:pPr>
        <w:pStyle w:val="FootnoteText"/>
      </w:pPr>
      <w:r>
        <w:rPr>
          <w:rStyle w:val="FootnoteReference"/>
        </w:rPr>
        <w:footnoteRef/>
      </w:r>
      <w:r>
        <w:t xml:space="preserve"> </w:t>
      </w:r>
      <w:r>
        <w:t xml:space="preserve">Kitáb-i-Aqdas #74</w:t>
      </w:r>
    </w:p>
  </w:footnote>
  <w:footnote w:id="667">
    <w:p>
      <w:pPr>
        <w:pStyle w:val="FootnoteText"/>
      </w:pPr>
      <w:r>
        <w:rPr>
          <w:rStyle w:val="FootnoteReference"/>
        </w:rPr>
        <w:footnoteRef/>
      </w:r>
      <w:r>
        <w:t xml:space="preserve"> </w:t>
      </w:r>
      <w:r>
        <w:t xml:space="preserve">Kitáb-i-Aqdas #156</w:t>
      </w:r>
    </w:p>
  </w:footnote>
  <w:footnote w:id="668">
    <w:p>
      <w:pPr>
        <w:pStyle w:val="FootnoteText"/>
      </w:pPr>
      <w:r>
        <w:rPr>
          <w:rStyle w:val="FootnoteReference"/>
        </w:rPr>
        <w:footnoteRef/>
      </w:r>
      <w:r>
        <w:t xml:space="preserve"> </w:t>
      </w:r>
      <w:r>
        <w:t xml:space="preserve">Kitáb-i-Aqdas #159</w:t>
      </w:r>
    </w:p>
  </w:footnote>
  <w:footnote w:id="669">
    <w:p>
      <w:pPr>
        <w:pStyle w:val="FootnoteText"/>
      </w:pPr>
      <w:r>
        <w:rPr>
          <w:rStyle w:val="FootnoteReference"/>
        </w:rPr>
        <w:footnoteRef/>
      </w:r>
      <w:r>
        <w:t xml:space="preserve"> </w:t>
      </w:r>
      <w:r>
        <w:t xml:space="preserve">Kitáb-i-Aqdas #102</w:t>
      </w:r>
    </w:p>
  </w:footnote>
  <w:footnote w:id="670">
    <w:p>
      <w:pPr>
        <w:pStyle w:val="FootnoteText"/>
      </w:pPr>
      <w:r>
        <w:rPr>
          <w:rStyle w:val="FootnoteReference"/>
        </w:rPr>
        <w:footnoteRef/>
      </w:r>
      <w:r>
        <w:t xml:space="preserve"> </w:t>
      </w:r>
      <w:r>
        <w:t xml:space="preserve">Kitáb-i-Aqdas #77</w:t>
      </w:r>
    </w:p>
  </w:footnote>
  <w:footnote w:id="671">
    <w:p>
      <w:pPr>
        <w:pStyle w:val="FootnoteText"/>
      </w:pPr>
      <w:r>
        <w:rPr>
          <w:rStyle w:val="FootnoteReference"/>
        </w:rPr>
        <w:footnoteRef/>
      </w:r>
      <w:r>
        <w:t xml:space="preserve"> </w:t>
      </w:r>
      <w:r>
        <w:t xml:space="preserve">Kitáb-i-Aqdas #153</w:t>
      </w:r>
    </w:p>
  </w:footnote>
  <w:footnote w:id="672">
    <w:p>
      <w:pPr>
        <w:pStyle w:val="FootnoteText"/>
      </w:pPr>
      <w:r>
        <w:rPr>
          <w:rStyle w:val="FootnoteReference"/>
        </w:rPr>
        <w:footnoteRef/>
      </w:r>
      <w:r>
        <w:t xml:space="preserve"> </w:t>
      </w:r>
      <w:r>
        <w:t xml:space="preserve">Súríy-i-Haykal 150 &amp; 151</w:t>
      </w:r>
    </w:p>
  </w:footnote>
  <w:footnote w:id="676">
    <w:p>
      <w:pPr>
        <w:pStyle w:val="FootnoteText"/>
      </w:pPr>
      <w:r>
        <w:rPr>
          <w:rStyle w:val="FootnoteReference"/>
        </w:rPr>
        <w:footnoteRef/>
      </w:r>
      <w:r>
        <w:t xml:space="preserve"> </w:t>
      </w:r>
      <w:r>
        <w:t xml:space="preserve">Kitáb-i-Aqdas #37</w:t>
      </w:r>
    </w:p>
  </w:footnote>
  <w:footnote w:id="677">
    <w:p>
      <w:pPr>
        <w:pStyle w:val="FootnoteText"/>
      </w:pPr>
      <w:r>
        <w:rPr>
          <w:rStyle w:val="FootnoteReference"/>
        </w:rPr>
        <w:footnoteRef/>
      </w:r>
      <w:r>
        <w:t xml:space="preserve"> </w:t>
      </w:r>
      <w:r>
        <w:t xml:space="preserve">Kitáb-i-Aqdas #105</w:t>
      </w:r>
    </w:p>
  </w:footnote>
  <w:footnote w:id="678">
    <w:p>
      <w:pPr>
        <w:pStyle w:val="FootnoteText"/>
      </w:pPr>
      <w:r>
        <w:rPr>
          <w:rStyle w:val="FootnoteReference"/>
        </w:rPr>
        <w:footnoteRef/>
      </w:r>
      <w:r>
        <w:t xml:space="preserve"> </w:t>
      </w:r>
      <w:r>
        <w:t xml:space="preserve">Tafsír on the Súrah of the Sun</w:t>
      </w:r>
    </w:p>
  </w:footnote>
  <w:footnote w:id="679">
    <w:p>
      <w:pPr>
        <w:pStyle w:val="FootnoteText"/>
      </w:pPr>
      <w:r>
        <w:rPr>
          <w:rStyle w:val="FootnoteReference"/>
        </w:rPr>
        <w:footnoteRef/>
      </w:r>
      <w:r>
        <w:t xml:space="preserve"> </w:t>
      </w:r>
      <w:r>
        <w:t xml:space="preserve">Kitáb-i-Aqdas #53</w:t>
      </w:r>
    </w:p>
  </w:footnote>
  <w:footnote w:id="681">
    <w:p>
      <w:pPr>
        <w:pStyle w:val="FootnoteText"/>
      </w:pPr>
      <w:r>
        <w:rPr>
          <w:rStyle w:val="FootnoteReference"/>
        </w:rPr>
        <w:footnoteRef/>
      </w:r>
      <w:r>
        <w:t xml:space="preserve"> </w:t>
      </w:r>
      <w:r>
        <w:t xml:space="preserve">Kitáb-i-Aqdas #47</w:t>
      </w:r>
    </w:p>
  </w:footnote>
  <w:footnote w:id="683">
    <w:p>
      <w:pPr>
        <w:pStyle w:val="FootnoteText"/>
      </w:pPr>
      <w:r>
        <w:rPr>
          <w:rStyle w:val="FootnoteReference"/>
        </w:rPr>
        <w:footnoteRef/>
      </w:r>
      <w:r>
        <w:t xml:space="preserve"> </w:t>
      </w:r>
      <w:r>
        <w:t xml:space="preserve">Kitáb-i-Aqdas #34</w:t>
      </w:r>
    </w:p>
  </w:footnote>
  <w:footnote w:id="684">
    <w:p>
      <w:pPr>
        <w:pStyle w:val="FootnoteText"/>
      </w:pPr>
      <w:r>
        <w:rPr>
          <w:rStyle w:val="FootnoteReference"/>
        </w:rPr>
        <w:footnoteRef/>
      </w:r>
      <w:r>
        <w:t xml:space="preserve"> </w:t>
      </w:r>
      <w:r>
        <w:t xml:space="preserve">Kitáb-i-Aqdas #154</w:t>
      </w:r>
    </w:p>
  </w:footnote>
  <w:footnote w:id="685">
    <w:p>
      <w:pPr>
        <w:pStyle w:val="FootnoteText"/>
      </w:pPr>
      <w:r>
        <w:rPr>
          <w:rStyle w:val="FootnoteReference"/>
        </w:rPr>
        <w:footnoteRef/>
      </w:r>
      <w:r>
        <w:t xml:space="preserve"> </w:t>
      </w:r>
      <w:r>
        <w:t xml:space="preserve">Kitáb-i-Aqdas #34</w:t>
      </w:r>
    </w:p>
  </w:footnote>
  <w:footnote w:id="687">
    <w:p>
      <w:pPr>
        <w:pStyle w:val="FootnoteText"/>
      </w:pPr>
      <w:r>
        <w:rPr>
          <w:rStyle w:val="FootnoteReference"/>
        </w:rPr>
        <w:footnoteRef/>
      </w:r>
      <w:r>
        <w:t xml:space="preserve"> </w:t>
      </w:r>
      <w:r>
        <w:t xml:space="preserve">Kitáb-i-Aqdas #147</w:t>
      </w:r>
    </w:p>
  </w:footnote>
  <w:footnote w:id="689">
    <w:p>
      <w:pPr>
        <w:pStyle w:val="FootnoteText"/>
      </w:pPr>
      <w:r>
        <w:rPr>
          <w:rStyle w:val="FootnoteReference"/>
        </w:rPr>
        <w:footnoteRef/>
      </w:r>
      <w:r>
        <w:t xml:space="preserve"> </w:t>
      </w:r>
      <w:r>
        <w:t xml:space="preserve">Kitáb-i-Aqdas #72</w:t>
      </w:r>
    </w:p>
  </w:footnote>
  <w:footnote w:id="690">
    <w:p>
      <w:pPr>
        <w:pStyle w:val="FootnoteText"/>
      </w:pPr>
      <w:r>
        <w:rPr>
          <w:rStyle w:val="FootnoteReference"/>
        </w:rPr>
        <w:footnoteRef/>
      </w:r>
      <w:r>
        <w:t xml:space="preserve"> </w:t>
      </w:r>
      <w:r>
        <w:t xml:space="preserve">Kitáb-i-Aqdas #148</w:t>
      </w:r>
    </w:p>
  </w:footnote>
  <w:footnote w:id="694">
    <w:p>
      <w:pPr>
        <w:pStyle w:val="FootnoteText"/>
      </w:pPr>
      <w:r>
        <w:rPr>
          <w:rStyle w:val="FootnoteReference"/>
        </w:rPr>
        <w:footnoteRef/>
      </w:r>
      <w:r>
        <w:t xml:space="preserve"> </w:t>
      </w:r>
      <w:r>
        <w:t xml:space="preserve">Kitáb-i-Aqdas #19</w:t>
      </w:r>
    </w:p>
  </w:footnote>
  <w:footnote w:id="696">
    <w:p>
      <w:pPr>
        <w:pStyle w:val="FootnoteText"/>
      </w:pPr>
      <w:r>
        <w:rPr>
          <w:rStyle w:val="FootnoteReference"/>
        </w:rPr>
        <w:footnoteRef/>
      </w:r>
      <w:r>
        <w:t xml:space="preserve"> </w:t>
      </w:r>
      <w:r>
        <w:t xml:space="preserve">Kitáb-i-Aqdas #19</w:t>
      </w:r>
    </w:p>
  </w:footnote>
  <w:footnote w:id="698">
    <w:p>
      <w:pPr>
        <w:pStyle w:val="FootnoteText"/>
      </w:pPr>
      <w:r>
        <w:rPr>
          <w:rStyle w:val="FootnoteReference"/>
        </w:rPr>
        <w:footnoteRef/>
      </w:r>
      <w:r>
        <w:t xml:space="preserve"> </w:t>
      </w:r>
      <w:r>
        <w:t xml:space="preserve">Kitáb-i-Aqdas #148</w:t>
      </w:r>
    </w:p>
  </w:footnote>
  <w:footnote w:id="699">
    <w:p>
      <w:pPr>
        <w:pStyle w:val="FootnoteText"/>
      </w:pPr>
      <w:r>
        <w:rPr>
          <w:rStyle w:val="FootnoteReference"/>
        </w:rPr>
        <w:footnoteRef/>
      </w:r>
      <w:r>
        <w:t xml:space="preserve"> </w:t>
      </w:r>
      <w:r>
        <w:t xml:space="preserve">Kitáb-i-Aqdas #53</w:t>
      </w:r>
    </w:p>
  </w:footnote>
  <w:footnote w:id="701">
    <w:p>
      <w:pPr>
        <w:pStyle w:val="FootnoteText"/>
      </w:pPr>
      <w:r>
        <w:rPr>
          <w:rStyle w:val="FootnoteReference"/>
        </w:rPr>
        <w:footnoteRef/>
      </w:r>
      <w:r>
        <w:t xml:space="preserve"> </w:t>
      </w:r>
      <w:r>
        <w:t xml:space="preserve">Kitáb-i-Aqdas #73</w:t>
      </w:r>
    </w:p>
  </w:footnote>
  <w:footnote w:id="703">
    <w:p>
      <w:pPr>
        <w:pStyle w:val="FootnoteText"/>
      </w:pPr>
      <w:r>
        <w:rPr>
          <w:rStyle w:val="FootnoteReference"/>
        </w:rPr>
        <w:footnoteRef/>
      </w:r>
      <w:r>
        <w:t xml:space="preserve"> </w:t>
      </w:r>
      <w:r>
        <w:t xml:space="preserve">Kitáb-i-Aqdas #108</w:t>
      </w:r>
    </w:p>
  </w:footnote>
  <w:footnote w:id="705">
    <w:p>
      <w:pPr>
        <w:pStyle w:val="FootnoteText"/>
      </w:pPr>
      <w:r>
        <w:rPr>
          <w:rStyle w:val="FootnoteReference"/>
        </w:rPr>
        <w:footnoteRef/>
      </w:r>
      <w:r>
        <w:t xml:space="preserve"> </w:t>
      </w:r>
      <w:r>
        <w:t xml:space="preserve">Kitáb-i-Aqdas #77</w:t>
      </w:r>
    </w:p>
  </w:footnote>
  <w:footnote w:id="706">
    <w:p>
      <w:pPr>
        <w:pStyle w:val="FootnoteText"/>
      </w:pPr>
      <w:r>
        <w:rPr>
          <w:rStyle w:val="FootnoteReference"/>
        </w:rPr>
        <w:footnoteRef/>
      </w:r>
      <w:r>
        <w:t xml:space="preserve"> </w:t>
      </w:r>
      <w:r>
        <w:t xml:space="preserve">Kitáb-i-Aqdas #77</w:t>
      </w:r>
    </w:p>
  </w:footnote>
  <w:footnote w:id="710">
    <w:p>
      <w:pPr>
        <w:pStyle w:val="FootnoteText"/>
      </w:pPr>
      <w:r>
        <w:rPr>
          <w:rStyle w:val="FootnoteReference"/>
        </w:rPr>
        <w:footnoteRef/>
      </w:r>
      <w:r>
        <w:t xml:space="preserve"> </w:t>
      </w:r>
      <w:r>
        <w:t xml:space="preserve">Kitáb-i-Aqdas #159</w:t>
      </w:r>
    </w:p>
  </w:footnote>
  <w:footnote w:id="711">
    <w:p>
      <w:pPr>
        <w:pStyle w:val="FootnoteText"/>
      </w:pPr>
      <w:r>
        <w:rPr>
          <w:rStyle w:val="FootnoteReference"/>
        </w:rPr>
        <w:footnoteRef/>
      </w:r>
      <w:r>
        <w:t xml:space="preserve"> </w:t>
      </w:r>
      <w:r>
        <w:t xml:space="preserve">Kitáb-i-Aqdas #148</w:t>
      </w:r>
    </w:p>
  </w:footnote>
  <w:footnote w:id="712">
    <w:p>
      <w:pPr>
        <w:pStyle w:val="FootnoteText"/>
      </w:pPr>
      <w:r>
        <w:rPr>
          <w:rStyle w:val="FootnoteReference"/>
        </w:rPr>
        <w:footnoteRef/>
      </w:r>
      <w:r>
        <w:t xml:space="preserve"> </w:t>
      </w:r>
      <w:r>
        <w:t xml:space="preserve">Kitáb-i-Aqdas #56</w:t>
      </w:r>
    </w:p>
  </w:footnote>
  <w:footnote w:id="713">
    <w:p>
      <w:pPr>
        <w:pStyle w:val="FootnoteText"/>
      </w:pPr>
      <w:r>
        <w:rPr>
          <w:rStyle w:val="FootnoteReference"/>
        </w:rPr>
        <w:footnoteRef/>
      </w:r>
      <w:r>
        <w:t xml:space="preserve"> </w:t>
      </w:r>
      <w:r>
        <w:t xml:space="preserve">Kitáb-i-Aqdas #52</w:t>
      </w:r>
    </w:p>
  </w:footnote>
  <w:footnote w:id="714">
    <w:p>
      <w:pPr>
        <w:pStyle w:val="FootnoteText"/>
      </w:pPr>
      <w:r>
        <w:rPr>
          <w:rStyle w:val="FootnoteReference"/>
        </w:rPr>
        <w:footnoteRef/>
      </w:r>
      <w:r>
        <w:t xml:space="preserve"> </w:t>
      </w:r>
      <w:r>
        <w:t xml:space="preserve">Kitáb-i-Aqdas #188</w:t>
      </w:r>
    </w:p>
  </w:footnote>
  <w:footnote w:id="715">
    <w:p>
      <w:pPr>
        <w:pStyle w:val="FootnoteText"/>
      </w:pPr>
      <w:r>
        <w:rPr>
          <w:rStyle w:val="FootnoteReference"/>
        </w:rPr>
        <w:footnoteRef/>
      </w:r>
      <w:r>
        <w:t xml:space="preserve"> </w:t>
      </w:r>
      <w:r>
        <w:t xml:space="preserve">Kitáb-i-Aqdas #19</w:t>
      </w:r>
    </w:p>
  </w:footnote>
  <w:footnote w:id="716">
    <w:p>
      <w:pPr>
        <w:pStyle w:val="FootnoteText"/>
      </w:pPr>
      <w:r>
        <w:rPr>
          <w:rStyle w:val="FootnoteReference"/>
        </w:rPr>
        <w:footnoteRef/>
      </w:r>
      <w:r>
        <w:t xml:space="preserve"> </w:t>
      </w:r>
      <w:r>
        <w:t xml:space="preserve">Kitáb-i-Aqdas #62</w:t>
      </w:r>
    </w:p>
  </w:footnote>
  <w:footnote w:id="717">
    <w:p>
      <w:pPr>
        <w:pStyle w:val="FootnoteText"/>
      </w:pPr>
      <w:r>
        <w:rPr>
          <w:rStyle w:val="FootnoteReference"/>
        </w:rPr>
        <w:footnoteRef/>
      </w:r>
      <w:r>
        <w:t xml:space="preserve"> </w:t>
      </w:r>
      <w:r>
        <w:t xml:space="preserve">Kitáb-i-Aqdas #145</w:t>
      </w:r>
    </w:p>
  </w:footnote>
  <w:footnote w:id="718">
    <w:p>
      <w:pPr>
        <w:pStyle w:val="FootnoteText"/>
      </w:pPr>
      <w:r>
        <w:rPr>
          <w:rStyle w:val="FootnoteReference"/>
        </w:rPr>
        <w:footnoteRef/>
      </w:r>
      <w:r>
        <w:t xml:space="preserve"> </w:t>
      </w:r>
      <w:r>
        <w:t xml:space="preserve">Kitáb-i-Aqdas #45</w:t>
      </w:r>
    </w:p>
  </w:footnote>
  <w:footnote w:id="719">
    <w:p>
      <w:pPr>
        <w:pStyle w:val="FootnoteText"/>
      </w:pPr>
      <w:r>
        <w:rPr>
          <w:rStyle w:val="FootnoteReference"/>
        </w:rPr>
        <w:footnoteRef/>
      </w:r>
      <w:r>
        <w:t xml:space="preserve"> </w:t>
      </w:r>
      <w:r>
        <w:t xml:space="preserve">Kitáb-i-Aqdas #62</w:t>
      </w:r>
    </w:p>
  </w:footnote>
  <w:footnote w:id="720">
    <w:p>
      <w:pPr>
        <w:pStyle w:val="FootnoteText"/>
      </w:pPr>
      <w:r>
        <w:rPr>
          <w:rStyle w:val="FootnoteReference"/>
        </w:rPr>
        <w:footnoteRef/>
      </w:r>
      <w:r>
        <w:t xml:space="preserve"> </w:t>
      </w:r>
      <w:r>
        <w:t xml:space="preserve">Kitáb-i-Aqdas #72</w:t>
      </w:r>
    </w:p>
  </w:footnote>
  <w:footnote w:id="724">
    <w:p>
      <w:pPr>
        <w:pStyle w:val="FootnoteText"/>
      </w:pPr>
      <w:r>
        <w:rPr>
          <w:rStyle w:val="FootnoteReference"/>
        </w:rPr>
        <w:footnoteRef/>
      </w:r>
      <w:r>
        <w:t xml:space="preserve"> </w:t>
      </w:r>
      <w:r>
        <w:t xml:space="preserve">Kitáb-i-Aqdas #63</w:t>
      </w:r>
    </w:p>
  </w:footnote>
  <w:footnote w:id="725">
    <w:p>
      <w:pPr>
        <w:pStyle w:val="FootnoteText"/>
      </w:pPr>
      <w:r>
        <w:rPr>
          <w:rStyle w:val="FootnoteReference"/>
        </w:rPr>
        <w:footnoteRef/>
      </w:r>
      <w:r>
        <w:t xml:space="preserve"> </w:t>
      </w:r>
      <w:r>
        <w:t xml:space="preserve">Persian Bayán Váḥid 8, Gate 15</w:t>
      </w:r>
    </w:p>
  </w:footnote>
  <w:footnote w:id="726">
    <w:p>
      <w:pPr>
        <w:pStyle w:val="FootnoteText"/>
      </w:pPr>
      <w:r>
        <w:rPr>
          <w:rStyle w:val="FootnoteReference"/>
        </w:rPr>
        <w:footnoteRef/>
      </w:r>
      <w:r>
        <w:t xml:space="preserve"> </w:t>
      </w:r>
      <w:r>
        <w:t xml:space="preserve">Súríy-i-Haykal</w:t>
      </w:r>
    </w:p>
  </w:footnote>
  <w:footnote w:id="727">
    <w:p>
      <w:pPr>
        <w:pStyle w:val="FootnoteText"/>
      </w:pPr>
      <w:r>
        <w:rPr>
          <w:rStyle w:val="FootnoteReference"/>
        </w:rPr>
        <w:footnoteRef/>
      </w:r>
      <w:r>
        <w:t xml:space="preserve"> </w:t>
      </w:r>
      <w:r>
        <w:t xml:space="preserve">BH10796</w:t>
      </w:r>
    </w:p>
  </w:footnote>
  <w:footnote w:id="728">
    <w:p>
      <w:pPr>
        <w:pStyle w:val="FootnoteText"/>
      </w:pPr>
      <w:r>
        <w:rPr>
          <w:rStyle w:val="FootnoteReference"/>
        </w:rPr>
        <w:footnoteRef/>
      </w:r>
      <w:r>
        <w:t xml:space="preserve"> </w:t>
      </w:r>
      <w:r>
        <w:t xml:space="preserve">BH03181</w:t>
      </w:r>
    </w:p>
  </w:footnote>
  <w:footnote w:id="731">
    <w:p>
      <w:pPr>
        <w:pStyle w:val="FootnoteText"/>
      </w:pPr>
      <w:r>
        <w:rPr>
          <w:rStyle w:val="FootnoteReference"/>
        </w:rPr>
        <w:footnoteRef/>
      </w:r>
      <w:r>
        <w:t xml:space="preserve"> </w:t>
      </w:r>
      <w:r>
        <w:t xml:space="preserve">Kitáb-i-Aqdas #65</w:t>
      </w:r>
    </w:p>
  </w:footnote>
  <w:footnote w:id="732">
    <w:p>
      <w:pPr>
        <w:pStyle w:val="FootnoteText"/>
      </w:pPr>
      <w:r>
        <w:rPr>
          <w:rStyle w:val="FootnoteReference"/>
        </w:rPr>
        <w:footnoteRef/>
      </w:r>
      <w:r>
        <w:t xml:space="preserve"> </w:t>
      </w:r>
      <w:r>
        <w:t xml:space="preserve">Arabic Bayán, Váḥid 8, Gate 15</w:t>
      </w:r>
    </w:p>
  </w:footnote>
  <w:footnote w:id="733">
    <w:p>
      <w:pPr>
        <w:pStyle w:val="FootnoteText"/>
      </w:pPr>
      <w:r>
        <w:rPr>
          <w:rStyle w:val="FootnoteReference"/>
        </w:rPr>
        <w:footnoteRef/>
      </w:r>
      <w:r>
        <w:t xml:space="preserve"> </w:t>
      </w:r>
      <w:r>
        <w:t xml:space="preserve">Persian Bayán Váḥid 6, Gate 7</w:t>
      </w:r>
    </w:p>
  </w:footnote>
  <w:footnote w:id="734">
    <w:p>
      <w:pPr>
        <w:pStyle w:val="FootnoteText"/>
      </w:pPr>
      <w:r>
        <w:rPr>
          <w:rStyle w:val="FootnoteReference"/>
        </w:rPr>
        <w:footnoteRef/>
      </w:r>
      <w:r>
        <w:t xml:space="preserve"> </w:t>
      </w:r>
      <w:r>
        <w:t xml:space="preserve">Kitáb-i-Aqdas #65</w:t>
      </w:r>
    </w:p>
  </w:footnote>
  <w:footnote w:id="735">
    <w:p>
      <w:pPr>
        <w:pStyle w:val="FootnoteText"/>
      </w:pPr>
      <w:r>
        <w:rPr>
          <w:rStyle w:val="FootnoteReference"/>
        </w:rPr>
        <w:footnoteRef/>
      </w:r>
      <w:r>
        <w:t xml:space="preserve"> </w:t>
      </w:r>
      <w:r>
        <w:t xml:space="preserve">BH02956</w:t>
      </w:r>
    </w:p>
  </w:footnote>
  <w:footnote w:id="736">
    <w:p>
      <w:pPr>
        <w:pStyle w:val="FootnoteText"/>
      </w:pPr>
      <w:r>
        <w:rPr>
          <w:rStyle w:val="FootnoteReference"/>
        </w:rPr>
        <w:footnoteRef/>
      </w:r>
      <w:r>
        <w:t xml:space="preserve"> </w:t>
      </w:r>
      <w:r>
        <w:t xml:space="preserve">BH00091</w:t>
      </w:r>
    </w:p>
  </w:footnote>
  <w:footnote w:id="737">
    <w:p>
      <w:pPr>
        <w:pStyle w:val="FootnoteText"/>
      </w:pPr>
      <w:r>
        <w:rPr>
          <w:rStyle w:val="FootnoteReference"/>
        </w:rPr>
        <w:footnoteRef/>
      </w:r>
      <w:r>
        <w:t xml:space="preserve"> </w:t>
      </w:r>
      <w:r>
        <w:t xml:space="preserve">BH00093</w:t>
      </w:r>
    </w:p>
  </w:footnote>
  <w:footnote w:id="738">
    <w:p>
      <w:pPr>
        <w:pStyle w:val="FootnoteText"/>
      </w:pPr>
      <w:r>
        <w:rPr>
          <w:rStyle w:val="FootnoteReference"/>
        </w:rPr>
        <w:footnoteRef/>
      </w:r>
      <w:r>
        <w:t xml:space="preserve"> </w:t>
      </w:r>
      <w:r>
        <w:t xml:space="preserve">Kitáb-i-Aqdas #65</w:t>
      </w:r>
    </w:p>
  </w:footnote>
  <w:footnote w:id="740">
    <w:p>
      <w:pPr>
        <w:pStyle w:val="FootnoteText"/>
      </w:pPr>
      <w:r>
        <w:rPr>
          <w:rStyle w:val="FootnoteReference"/>
        </w:rPr>
        <w:footnoteRef/>
      </w:r>
      <w:r>
        <w:t xml:space="preserve"> </w:t>
      </w:r>
      <w:r>
        <w:t xml:space="preserve">BH00726</w:t>
      </w:r>
    </w:p>
  </w:footnote>
  <w:footnote w:id="741">
    <w:p>
      <w:pPr>
        <w:pStyle w:val="FootnoteText"/>
      </w:pPr>
      <w:r>
        <w:rPr>
          <w:rStyle w:val="FootnoteReference"/>
        </w:rPr>
        <w:footnoteRef/>
      </w:r>
      <w:r>
        <w:t xml:space="preserve"> </w:t>
      </w:r>
      <w:r>
        <w:t xml:space="preserve">BH02573</w:t>
      </w:r>
    </w:p>
  </w:footnote>
  <w:footnote w:id="742">
    <w:p>
      <w:pPr>
        <w:pStyle w:val="FootnoteText"/>
      </w:pPr>
      <w:r>
        <w:rPr>
          <w:rStyle w:val="FootnoteReference"/>
        </w:rPr>
        <w:footnoteRef/>
      </w:r>
      <w:r>
        <w:t xml:space="preserve"> </w:t>
      </w:r>
      <w:r>
        <w:t xml:space="preserve">BH02352</w:t>
      </w:r>
    </w:p>
  </w:footnote>
  <w:footnote w:id="743">
    <w:p>
      <w:pPr>
        <w:pStyle w:val="FootnoteText"/>
      </w:pPr>
      <w:r>
        <w:rPr>
          <w:rStyle w:val="FootnoteReference"/>
        </w:rPr>
        <w:footnoteRef/>
      </w:r>
      <w:r>
        <w:t xml:space="preserve"> </w:t>
      </w:r>
      <w:r>
        <w:t xml:space="preserve">BH00357</w:t>
      </w:r>
    </w:p>
  </w:footnote>
  <w:footnote w:id="745">
    <w:p>
      <w:pPr>
        <w:pStyle w:val="FootnoteText"/>
      </w:pPr>
      <w:r>
        <w:rPr>
          <w:rStyle w:val="FootnoteReference"/>
        </w:rPr>
        <w:footnoteRef/>
      </w:r>
      <w:r>
        <w:t xml:space="preserve"> </w:t>
      </w:r>
      <w:r>
        <w:t xml:space="preserve">BH00035</w:t>
      </w:r>
    </w:p>
  </w:footnote>
  <w:footnote w:id="747">
    <w:p>
      <w:pPr>
        <w:pStyle w:val="FootnoteText"/>
      </w:pPr>
      <w:r>
        <w:rPr>
          <w:rStyle w:val="FootnoteReference"/>
        </w:rPr>
        <w:footnoteRef/>
      </w:r>
      <w:r>
        <w:t xml:space="preserve"> </w:t>
      </w:r>
      <w:r>
        <w:t xml:space="preserve">Kitáb-i-Aqdas #68</w:t>
      </w:r>
    </w:p>
  </w:footnote>
  <w:footnote w:id="751">
    <w:p>
      <w:pPr>
        <w:pStyle w:val="FootnoteText"/>
      </w:pPr>
      <w:r>
        <w:rPr>
          <w:rStyle w:val="FootnoteReference"/>
        </w:rPr>
        <w:footnoteRef/>
      </w:r>
      <w:r>
        <w:t xml:space="preserve"> </w:t>
      </w:r>
      <w:r>
        <w:t xml:space="preserve">Kitáb-i-Aqdas #49</w:t>
      </w:r>
    </w:p>
  </w:footnote>
  <w:footnote w:id="754">
    <w:p>
      <w:pPr>
        <w:pStyle w:val="FootnoteText"/>
      </w:pPr>
      <w:r>
        <w:rPr>
          <w:rStyle w:val="FootnoteReference"/>
        </w:rPr>
        <w:footnoteRef/>
      </w:r>
      <w:r>
        <w:t xml:space="preserve"> </w:t>
      </w:r>
      <w:r>
        <w:t xml:space="preserve">Kitáb-i-Aqdas #70</w:t>
      </w:r>
    </w:p>
  </w:footnote>
  <w:footnote w:id="755">
    <w:p>
      <w:pPr>
        <w:pStyle w:val="FootnoteText"/>
      </w:pPr>
      <w:r>
        <w:rPr>
          <w:rStyle w:val="FootnoteReference"/>
        </w:rPr>
        <w:footnoteRef/>
      </w:r>
      <w:r>
        <w:t xml:space="preserve"> </w:t>
      </w:r>
      <w:r>
        <w:t xml:space="preserve">Kitáb-i-Aqdas #148</w:t>
      </w:r>
    </w:p>
  </w:footnote>
  <w:footnote w:id="756">
    <w:p>
      <w:pPr>
        <w:pStyle w:val="FootnoteText"/>
      </w:pPr>
      <w:r>
        <w:rPr>
          <w:rStyle w:val="FootnoteReference"/>
        </w:rPr>
        <w:footnoteRef/>
      </w:r>
      <w:r>
        <w:t xml:space="preserve"> </w:t>
      </w:r>
      <w:r>
        <w:t xml:space="preserve">Kitáb-i-Aqdas #144</w:t>
      </w:r>
    </w:p>
  </w:footnote>
  <w:footnote w:id="757">
    <w:p>
      <w:pPr>
        <w:pStyle w:val="FootnoteText"/>
      </w:pPr>
      <w:r>
        <w:rPr>
          <w:rStyle w:val="FootnoteReference"/>
        </w:rPr>
        <w:footnoteRef/>
      </w:r>
      <w:r>
        <w:t xml:space="preserve"> </w:t>
      </w:r>
      <w:r>
        <w:t xml:space="preserve">Hidden Words, Persian #57</w:t>
      </w:r>
    </w:p>
  </w:footnote>
  <w:footnote w:id="760">
    <w:p>
      <w:pPr>
        <w:pStyle w:val="FootnoteText"/>
      </w:pPr>
      <w:r>
        <w:rPr>
          <w:rStyle w:val="FootnoteReference"/>
        </w:rPr>
        <w:footnoteRef/>
      </w:r>
      <w:r>
        <w:t xml:space="preserve"> </w:t>
      </w:r>
      <w:r>
        <w:t xml:space="preserve">BH00091</w:t>
      </w:r>
    </w:p>
  </w:footnote>
  <w:footnote w:id="761">
    <w:p>
      <w:pPr>
        <w:pStyle w:val="FootnoteText"/>
      </w:pPr>
      <w:r>
        <w:rPr>
          <w:rStyle w:val="FootnoteReference"/>
        </w:rPr>
        <w:footnoteRef/>
      </w:r>
      <w:r>
        <w:t xml:space="preserve"> </w:t>
      </w:r>
      <w:r>
        <w:t xml:space="preserve">Kitáb-i-Aqdas #61</w:t>
      </w:r>
    </w:p>
  </w:footnote>
  <w:footnote w:id="764">
    <w:p>
      <w:pPr>
        <w:pStyle w:val="FootnoteText"/>
      </w:pPr>
      <w:r>
        <w:rPr>
          <w:rStyle w:val="FootnoteReference"/>
        </w:rPr>
        <w:footnoteRef/>
      </w:r>
      <w:r>
        <w:t xml:space="preserve"> </w:t>
      </w:r>
      <w:r>
        <w:t xml:space="preserve">BH03310</w:t>
      </w:r>
    </w:p>
  </w:footnote>
  <w:footnote w:id="765">
    <w:p>
      <w:pPr>
        <w:pStyle w:val="FootnoteText"/>
      </w:pPr>
      <w:r>
        <w:rPr>
          <w:rStyle w:val="FootnoteReference"/>
        </w:rPr>
        <w:footnoteRef/>
      </w:r>
      <w:r>
        <w:t xml:space="preserve"> </w:t>
      </w:r>
      <w:r>
        <w:t xml:space="preserve">BH01039</w:t>
      </w:r>
    </w:p>
  </w:footnote>
  <w:footnote w:id="774">
    <w:p>
      <w:pPr>
        <w:pStyle w:val="FootnoteText"/>
      </w:pPr>
      <w:r>
        <w:rPr>
          <w:rStyle w:val="FootnoteReference"/>
        </w:rPr>
        <w:footnoteRef/>
      </w:r>
      <w:r>
        <w:t xml:space="preserve"> </w:t>
      </w:r>
      <w:r>
        <w:t xml:space="preserve">Kitáb-i-Aqdas #21</w:t>
      </w:r>
    </w:p>
  </w:footnote>
  <w:footnote w:id="775">
    <w:p>
      <w:pPr>
        <w:pStyle w:val="FootnoteText"/>
      </w:pPr>
      <w:r>
        <w:rPr>
          <w:rStyle w:val="FootnoteReference"/>
        </w:rPr>
        <w:footnoteRef/>
      </w:r>
      <w:r>
        <w:t xml:space="preserve"> </w:t>
      </w:r>
      <w:r>
        <w:t xml:space="preserve">Kitáb-i-Aqdas #27</w:t>
      </w:r>
    </w:p>
  </w:footnote>
  <w:footnote w:id="776">
    <w:p>
      <w:pPr>
        <w:pStyle w:val="FootnoteText"/>
      </w:pPr>
      <w:r>
        <w:rPr>
          <w:rStyle w:val="FootnoteReference"/>
        </w:rPr>
        <w:footnoteRef/>
      </w:r>
      <w:r>
        <w:t xml:space="preserve"> </w:t>
      </w:r>
      <w:r>
        <w:t xml:space="preserve">Kitáb-i-Aqdas #147</w:t>
      </w:r>
    </w:p>
  </w:footnote>
  <w:footnote w:id="777">
    <w:p>
      <w:pPr>
        <w:pStyle w:val="FootnoteText"/>
      </w:pPr>
      <w:r>
        <w:rPr>
          <w:rStyle w:val="FootnoteReference"/>
        </w:rPr>
        <w:footnoteRef/>
      </w:r>
      <w:r>
        <w:t xml:space="preserve"> </w:t>
      </w:r>
      <w:r>
        <w:t xml:space="preserve">Kitáb-i-Aqdas #172</w:t>
      </w:r>
    </w:p>
  </w:footnote>
  <w:footnote w:id="780">
    <w:p>
      <w:pPr>
        <w:pStyle w:val="FootnoteText"/>
      </w:pPr>
      <w:r>
        <w:rPr>
          <w:rStyle w:val="FootnoteReference"/>
        </w:rPr>
        <w:footnoteRef/>
      </w:r>
      <w:r>
        <w:t xml:space="preserve"> </w:t>
      </w:r>
      <w:r>
        <w:t xml:space="preserve">Kitáb-i-Aqdas #48</w:t>
      </w:r>
    </w:p>
  </w:footnote>
  <w:footnote w:id="781">
    <w:p>
      <w:pPr>
        <w:pStyle w:val="FootnoteText"/>
      </w:pPr>
      <w:r>
        <w:rPr>
          <w:rStyle w:val="FootnoteReference"/>
        </w:rPr>
        <w:footnoteRef/>
      </w:r>
      <w:r>
        <w:t xml:space="preserve"> </w:t>
      </w:r>
      <w:r>
        <w:t xml:space="preserve">BH09698</w:t>
      </w:r>
    </w:p>
  </w:footnote>
  <w:footnote w:id="782">
    <w:p>
      <w:pPr>
        <w:pStyle w:val="FootnoteText"/>
      </w:pPr>
      <w:r>
        <w:rPr>
          <w:rStyle w:val="FootnoteReference"/>
        </w:rPr>
        <w:footnoteRef/>
      </w:r>
      <w:r>
        <w:t xml:space="preserve"> </w:t>
      </w:r>
      <w:r>
        <w:t xml:space="preserve">Arabic Bayán Vahid 10, Gate 14</w:t>
      </w:r>
    </w:p>
  </w:footnote>
  <w:footnote w:id="784">
    <w:p>
      <w:pPr>
        <w:pStyle w:val="FootnoteText"/>
      </w:pPr>
      <w:r>
        <w:rPr>
          <w:rStyle w:val="FootnoteReference"/>
        </w:rPr>
        <w:footnoteRef/>
      </w:r>
      <w:r>
        <w:t xml:space="preserve"> </w:t>
      </w:r>
      <w:r>
        <w:t xml:space="preserve">Kitáb-i-Aqdas #21</w:t>
      </w:r>
    </w:p>
  </w:footnote>
  <w:footnote w:id="785">
    <w:p>
      <w:pPr>
        <w:pStyle w:val="FootnoteText"/>
      </w:pPr>
      <w:r>
        <w:rPr>
          <w:rStyle w:val="FootnoteReference"/>
        </w:rPr>
        <w:footnoteRef/>
      </w:r>
      <w:r>
        <w:t xml:space="preserve"> </w:t>
      </w:r>
      <w:r>
        <w:t xml:space="preserve">BH00332</w:t>
      </w:r>
    </w:p>
  </w:footnote>
  <w:footnote w:id="788">
    <w:p>
      <w:pPr>
        <w:pStyle w:val="FootnoteText"/>
      </w:pPr>
      <w:r>
        <w:rPr>
          <w:rStyle w:val="FootnoteReference"/>
        </w:rPr>
        <w:footnoteRef/>
      </w:r>
      <w:r>
        <w:t xml:space="preserve"> </w:t>
      </w:r>
      <w:r>
        <w:t xml:space="preserve">BH02374</w:t>
      </w:r>
    </w:p>
  </w:footnote>
  <w:footnote w:id="789">
    <w:p>
      <w:pPr>
        <w:pStyle w:val="FootnoteText"/>
      </w:pPr>
      <w:r>
        <w:rPr>
          <w:rStyle w:val="FootnoteReference"/>
        </w:rPr>
        <w:footnoteRef/>
      </w:r>
      <w:r>
        <w:t xml:space="preserve"> </w:t>
      </w:r>
      <w:r>
        <w:t xml:space="preserve">Arabic Bayán Vahid 10, Gate 14</w:t>
      </w:r>
    </w:p>
  </w:footnote>
  <w:footnote w:id="790">
    <w:p>
      <w:pPr>
        <w:pStyle w:val="FootnoteText"/>
      </w:pPr>
      <w:r>
        <w:rPr>
          <w:rStyle w:val="FootnoteReference"/>
        </w:rPr>
        <w:footnoteRef/>
      </w:r>
      <w:r>
        <w:t xml:space="preserve"> </w:t>
      </w:r>
      <w:r>
        <w:t xml:space="preserve">BH00035</w:t>
      </w:r>
    </w:p>
  </w:footnote>
  <w:footnote w:id="791">
    <w:p>
      <w:pPr>
        <w:pStyle w:val="FootnoteText"/>
      </w:pPr>
      <w:r>
        <w:rPr>
          <w:rStyle w:val="FootnoteReference"/>
        </w:rPr>
        <w:footnoteRef/>
      </w:r>
      <w:r>
        <w:t xml:space="preserve"> </w:t>
      </w:r>
      <w:r>
        <w:t xml:space="preserve">Kitáb-i-Aqdas #113</w:t>
      </w:r>
    </w:p>
  </w:footnote>
  <w:footnote w:id="792">
    <w:p>
      <w:pPr>
        <w:pStyle w:val="FootnoteText"/>
      </w:pPr>
      <w:r>
        <w:rPr>
          <w:rStyle w:val="FootnoteReference"/>
        </w:rPr>
        <w:footnoteRef/>
      </w:r>
      <w:r>
        <w:t xml:space="preserve"> </w:t>
      </w:r>
      <w:r>
        <w:t xml:space="preserve">BH00093</w:t>
      </w:r>
    </w:p>
  </w:footnote>
  <w:footnote w:id="795">
    <w:p>
      <w:pPr>
        <w:pStyle w:val="FootnoteText"/>
      </w:pPr>
      <w:r>
        <w:rPr>
          <w:rStyle w:val="FootnoteReference"/>
        </w:rPr>
        <w:footnoteRef/>
      </w:r>
      <w:r>
        <w:t xml:space="preserve"> </w:t>
      </w:r>
      <w:r>
        <w:t xml:space="preserve">Kitáb-i-Aqdas #147</w:t>
      </w:r>
    </w:p>
  </w:footnote>
  <w:footnote w:id="797">
    <w:p>
      <w:pPr>
        <w:pStyle w:val="FootnoteText"/>
      </w:pPr>
      <w:r>
        <w:rPr>
          <w:rStyle w:val="FootnoteReference"/>
        </w:rPr>
        <w:footnoteRef/>
      </w:r>
      <w:r>
        <w:t xml:space="preserve"> </w:t>
      </w:r>
      <w:r>
        <w:t xml:space="preserve">Kitáb-i-Aqdas #54</w:t>
      </w:r>
    </w:p>
  </w:footnote>
  <w:footnote w:id="798">
    <w:p>
      <w:pPr>
        <w:pStyle w:val="FootnoteText"/>
      </w:pPr>
      <w:r>
        <w:rPr>
          <w:rStyle w:val="FootnoteReference"/>
        </w:rPr>
        <w:footnoteRef/>
      </w:r>
      <w:r>
        <w:t xml:space="preserve"> </w:t>
      </w:r>
      <w:r>
        <w:t xml:space="preserve">Kitáb-i-Aqdas #64</w:t>
      </w:r>
    </w:p>
  </w:footnote>
  <w:footnote w:id="799">
    <w:p>
      <w:pPr>
        <w:pStyle w:val="FootnoteText"/>
      </w:pPr>
      <w:r>
        <w:rPr>
          <w:rStyle w:val="FootnoteReference"/>
        </w:rPr>
        <w:footnoteRef/>
      </w:r>
      <w:r>
        <w:t xml:space="preserve"> </w:t>
      </w:r>
      <w:r>
        <w:t xml:space="preserve">Persian Bayán Vahid 5 Gate 14</w:t>
      </w:r>
    </w:p>
  </w:footnote>
  <w:footnote w:id="800">
    <w:p>
      <w:pPr>
        <w:pStyle w:val="FootnoteText"/>
      </w:pPr>
      <w:r>
        <w:rPr>
          <w:rStyle w:val="FootnoteReference"/>
        </w:rPr>
        <w:footnoteRef/>
      </w:r>
      <w:r>
        <w:t xml:space="preserve"> </w:t>
      </w:r>
      <w:r>
        <w:t xml:space="preserve">Persian Bayán Vahid 5 Gate 3</w:t>
      </w:r>
    </w:p>
  </w:footnote>
  <w:footnote w:id="801">
    <w:p>
      <w:pPr>
        <w:pStyle w:val="FootnoteText"/>
      </w:pPr>
      <w:r>
        <w:rPr>
          <w:rStyle w:val="FootnoteReference"/>
        </w:rPr>
        <w:footnoteRef/>
      </w:r>
      <w:r>
        <w:t xml:space="preserve"> </w:t>
      </w:r>
      <w:r>
        <w:t xml:space="preserve">The Lawḥ-i-Aqdas (Most Holy Tablet)</w:t>
      </w:r>
    </w:p>
  </w:footnote>
  <w:footnote w:id="802">
    <w:p>
      <w:pPr>
        <w:pStyle w:val="FootnoteText"/>
      </w:pPr>
      <w:r>
        <w:rPr>
          <w:rStyle w:val="FootnoteReference"/>
        </w:rPr>
        <w:footnoteRef/>
      </w:r>
      <w:r>
        <w:t xml:space="preserve"> </w:t>
      </w:r>
      <w:r>
        <w:t xml:space="preserve">Kitáb-i-Aqdas #91</w:t>
      </w:r>
    </w:p>
  </w:footnote>
  <w:footnote w:id="803">
    <w:p>
      <w:pPr>
        <w:pStyle w:val="FootnoteText"/>
      </w:pPr>
      <w:r>
        <w:rPr>
          <w:rStyle w:val="FootnoteReference"/>
        </w:rPr>
        <w:footnoteRef/>
      </w:r>
      <w:r>
        <w:t xml:space="preserve"> </w:t>
      </w:r>
      <w:r>
        <w:t xml:space="preserve">Lawḥ-i-Arḍ-i-Bá (Tablet of the Land of Bá)</w:t>
      </w:r>
    </w:p>
  </w:footnote>
  <w:footnote w:id="804">
    <w:p>
      <w:pPr>
        <w:pStyle w:val="FootnoteText"/>
      </w:pPr>
      <w:r>
        <w:rPr>
          <w:rStyle w:val="FootnoteReference"/>
        </w:rPr>
        <w:footnoteRef/>
      </w:r>
      <w:r>
        <w:t xml:space="preserve"> </w:t>
      </w:r>
      <w:r>
        <w:t xml:space="preserve">BH00010</w:t>
      </w:r>
    </w:p>
  </w:footnote>
  <w:footnote w:id="805">
    <w:p>
      <w:pPr>
        <w:pStyle w:val="FootnoteText"/>
      </w:pPr>
      <w:r>
        <w:rPr>
          <w:rStyle w:val="FootnoteReference"/>
        </w:rPr>
        <w:footnoteRef/>
      </w:r>
      <w:r>
        <w:t xml:space="preserve"> </w:t>
      </w:r>
      <w:r>
        <w:t xml:space="preserve">The Hidden Words, Persian #2</w:t>
      </w:r>
    </w:p>
  </w:footnote>
  <w:footnote w:id="806">
    <w:p>
      <w:pPr>
        <w:pStyle w:val="FootnoteText"/>
      </w:pPr>
      <w:r>
        <w:rPr>
          <w:rStyle w:val="FootnoteReference"/>
        </w:rPr>
        <w:footnoteRef/>
      </w:r>
      <w:r>
        <w:t xml:space="preserve"> </w:t>
      </w:r>
      <w:r>
        <w:t xml:space="preserve">The Arabic Bayán Vahid 9, Gate 10</w:t>
      </w:r>
    </w:p>
  </w:footnote>
  <w:footnote w:id="808">
    <w:p>
      <w:pPr>
        <w:pStyle w:val="FootnoteText"/>
      </w:pPr>
      <w:r>
        <w:rPr>
          <w:rStyle w:val="FootnoteReference"/>
        </w:rPr>
        <w:footnoteRef/>
      </w:r>
      <w:r>
        <w:t xml:space="preserve"> </w:t>
      </w:r>
      <w:r>
        <w:t xml:space="preserve">Kitáb-i-Aqdas #187</w:t>
      </w:r>
    </w:p>
  </w:footnote>
  <w:footnote w:id="809">
    <w:p>
      <w:pPr>
        <w:pStyle w:val="FootnoteText"/>
      </w:pPr>
      <w:r>
        <w:rPr>
          <w:rStyle w:val="FootnoteReference"/>
        </w:rPr>
        <w:footnoteRef/>
      </w:r>
      <w:r>
        <w:t xml:space="preserve"> </w:t>
      </w:r>
      <w:r>
        <w:t xml:space="preserve">Kitáb-i-Aqdas #60</w:t>
      </w:r>
    </w:p>
  </w:footnote>
  <w:footnote w:id="812">
    <w:p>
      <w:pPr>
        <w:pStyle w:val="FootnoteText"/>
      </w:pPr>
      <w:r>
        <w:rPr>
          <w:rStyle w:val="FootnoteReference"/>
        </w:rPr>
        <w:footnoteRef/>
      </w:r>
      <w:r>
        <w:t xml:space="preserve"> </w:t>
      </w:r>
      <w:r>
        <w:t xml:space="preserve">Kitáb-i-Aqdas #109</w:t>
      </w:r>
    </w:p>
  </w:footnote>
  <w:footnote w:id="813">
    <w:p>
      <w:pPr>
        <w:pStyle w:val="FootnoteText"/>
      </w:pPr>
      <w:r>
        <w:rPr>
          <w:rStyle w:val="FootnoteReference"/>
        </w:rPr>
        <w:footnoteRef/>
      </w:r>
      <w:r>
        <w:t xml:space="preserve"> </w:t>
      </w:r>
      <w:r>
        <w:t xml:space="preserve">BH00984</w:t>
      </w:r>
    </w:p>
  </w:footnote>
  <w:footnote w:id="814">
    <w:p>
      <w:pPr>
        <w:pStyle w:val="FootnoteText"/>
      </w:pPr>
      <w:r>
        <w:rPr>
          <w:rStyle w:val="FootnoteReference"/>
        </w:rPr>
        <w:footnoteRef/>
      </w:r>
      <w:r>
        <w:t xml:space="preserve"> </w:t>
      </w:r>
      <w:r>
        <w:t xml:space="preserve">Arabic Bayán Vahid 10, Gate 14</w:t>
      </w:r>
    </w:p>
  </w:footnote>
  <w:footnote w:id="816">
    <w:p>
      <w:pPr>
        <w:pStyle w:val="FootnoteText"/>
      </w:pPr>
      <w:r>
        <w:rPr>
          <w:rStyle w:val="FootnoteReference"/>
        </w:rPr>
        <w:footnoteRef/>
      </w:r>
      <w:r>
        <w:t xml:space="preserve"> </w:t>
      </w:r>
      <w:r>
        <w:t xml:space="preserve">Kitáb-i-Aqdas #25</w:t>
      </w:r>
    </w:p>
  </w:footnote>
  <w:footnote w:id="818">
    <w:p>
      <w:pPr>
        <w:pStyle w:val="FootnoteText"/>
      </w:pPr>
      <w:r>
        <w:rPr>
          <w:rStyle w:val="FootnoteReference"/>
        </w:rPr>
        <w:footnoteRef/>
      </w:r>
      <w:r>
        <w:t xml:space="preserve"> </w:t>
      </w:r>
      <w:r>
        <w:t xml:space="preserve">Kitáb-i-Aqdas #21</w:t>
      </w:r>
    </w:p>
  </w:footnote>
  <w:footnote w:id="819">
    <w:p>
      <w:pPr>
        <w:pStyle w:val="FootnoteText"/>
      </w:pPr>
      <w:r>
        <w:rPr>
          <w:rStyle w:val="FootnoteReference"/>
        </w:rPr>
        <w:footnoteRef/>
      </w:r>
      <w:r>
        <w:t xml:space="preserve"> </w:t>
      </w:r>
      <w:r>
        <w:t xml:space="preserve">Kitáb-i-Aqdas #22</w:t>
      </w:r>
    </w:p>
  </w:footnote>
  <w:footnote w:id="820">
    <w:p>
      <w:pPr>
        <w:pStyle w:val="FootnoteText"/>
      </w:pPr>
      <w:r>
        <w:rPr>
          <w:rStyle w:val="FootnoteReference"/>
        </w:rPr>
        <w:footnoteRef/>
      </w:r>
      <w:r>
        <w:t xml:space="preserve"> </w:t>
      </w:r>
      <w:r>
        <w:t xml:space="preserve">Kitáb-i-Aqdas #23</w:t>
      </w:r>
    </w:p>
  </w:footnote>
  <w:footnote w:id="821">
    <w:p>
      <w:pPr>
        <w:pStyle w:val="FootnoteText"/>
      </w:pPr>
      <w:r>
        <w:rPr>
          <w:rStyle w:val="FootnoteReference"/>
        </w:rPr>
        <w:footnoteRef/>
      </w:r>
      <w:r>
        <w:t xml:space="preserve"> </w:t>
      </w:r>
      <w:r>
        <w:t xml:space="preserve">Kitáb-i-Aqdas #24</w:t>
      </w:r>
    </w:p>
  </w:footnote>
  <w:footnote w:id="834">
    <w:p>
      <w:pPr>
        <w:pStyle w:val="FootnoteText"/>
      </w:pPr>
      <w:r>
        <w:rPr>
          <w:rStyle w:val="FootnoteReference"/>
        </w:rPr>
        <w:footnoteRef/>
      </w:r>
      <w:r>
        <w:t xml:space="preserve"> </w:t>
      </w:r>
      <w:r>
        <w:t xml:space="preserve">Lawḥ-i-Ishráqát</w:t>
      </w:r>
    </w:p>
  </w:footnote>
  <w:footnote w:id="835">
    <w:p>
      <w:pPr>
        <w:pStyle w:val="FootnoteText"/>
      </w:pPr>
      <w:r>
        <w:rPr>
          <w:rStyle w:val="FootnoteReference"/>
        </w:rPr>
        <w:footnoteRef/>
      </w:r>
      <w:r>
        <w:t xml:space="preserve"> </w:t>
      </w:r>
      <w:r>
        <w:t xml:space="preserve">BH00093</w:t>
      </w:r>
    </w:p>
  </w:footnote>
  <w:footnote w:id="836">
    <w:p>
      <w:pPr>
        <w:pStyle w:val="FootnoteText"/>
      </w:pPr>
      <w:r>
        <w:rPr>
          <w:rStyle w:val="FootnoteReference"/>
        </w:rPr>
        <w:footnoteRef/>
      </w:r>
      <w:r>
        <w:t xml:space="preserve"> </w:t>
      </w:r>
      <w:r>
        <w:t xml:space="preserve">Kitáb-i-Aqdas #30</w:t>
      </w:r>
    </w:p>
  </w:footnote>
  <w:footnote w:id="837">
    <w:p>
      <w:pPr>
        <w:pStyle w:val="FootnoteText"/>
      </w:pPr>
      <w:r>
        <w:rPr>
          <w:rStyle w:val="FootnoteReference"/>
        </w:rPr>
        <w:footnoteRef/>
      </w:r>
      <w:r>
        <w:t xml:space="preserve"> </w:t>
      </w:r>
      <w:r>
        <w:t xml:space="preserve">BH00046</w:t>
      </w:r>
    </w:p>
  </w:footnote>
  <w:footnote w:id="838">
    <w:p>
      <w:pPr>
        <w:pStyle w:val="FootnoteText"/>
      </w:pPr>
      <w:r>
        <w:rPr>
          <w:rStyle w:val="FootnoteReference"/>
        </w:rPr>
        <w:footnoteRef/>
      </w:r>
      <w:r>
        <w:t xml:space="preserve"> </w:t>
      </w:r>
      <w:r>
        <w:t xml:space="preserve">BH00083</w:t>
      </w:r>
    </w:p>
  </w:footnote>
  <w:footnote w:id="839">
    <w:p>
      <w:pPr>
        <w:pStyle w:val="FootnoteText"/>
      </w:pPr>
      <w:r>
        <w:rPr>
          <w:rStyle w:val="FootnoteReference"/>
        </w:rPr>
        <w:footnoteRef/>
      </w:r>
      <w:r>
        <w:t xml:space="preserve"> </w:t>
      </w:r>
      <w:r>
        <w:t xml:space="preserve">BH00083</w:t>
      </w:r>
    </w:p>
  </w:footnote>
  <w:footnote w:id="840">
    <w:p>
      <w:pPr>
        <w:pStyle w:val="FootnoteText"/>
      </w:pPr>
      <w:r>
        <w:rPr>
          <w:rStyle w:val="FootnoteReference"/>
        </w:rPr>
        <w:footnoteRef/>
      </w:r>
      <w:r>
        <w:t xml:space="preserve"> </w:t>
      </w:r>
      <w:r>
        <w:t xml:space="preserve">BH00123</w:t>
      </w:r>
    </w:p>
  </w:footnote>
  <w:footnote w:id="841">
    <w:p>
      <w:pPr>
        <w:pStyle w:val="FootnoteText"/>
      </w:pPr>
      <w:r>
        <w:rPr>
          <w:rStyle w:val="FootnoteReference"/>
        </w:rPr>
        <w:footnoteRef/>
      </w:r>
      <w:r>
        <w:t xml:space="preserve"> </w:t>
      </w:r>
      <w:r>
        <w:t xml:space="preserve">BH00083</w:t>
      </w:r>
    </w:p>
  </w:footnote>
  <w:footnote w:id="842">
    <w:p>
      <w:pPr>
        <w:pStyle w:val="FootnoteText"/>
      </w:pPr>
      <w:r>
        <w:rPr>
          <w:rStyle w:val="FootnoteReference"/>
        </w:rPr>
        <w:footnoteRef/>
      </w:r>
      <w:r>
        <w:t xml:space="preserve"> </w:t>
      </w:r>
      <w:r>
        <w:t xml:space="preserve">BH00040</w:t>
      </w:r>
    </w:p>
  </w:footnote>
  <w:footnote w:id="843">
    <w:p>
      <w:pPr>
        <w:pStyle w:val="FootnoteText"/>
      </w:pPr>
      <w:r>
        <w:rPr>
          <w:rStyle w:val="FootnoteReference"/>
        </w:rPr>
        <w:footnoteRef/>
      </w:r>
      <w:r>
        <w:t xml:space="preserve"> </w:t>
      </w:r>
      <w:r>
        <w:t xml:space="preserve">BH00093</w:t>
      </w:r>
    </w:p>
  </w:footnote>
  <w:footnote w:id="845">
    <w:p>
      <w:pPr>
        <w:pStyle w:val="FootnoteText"/>
      </w:pPr>
      <w:r>
        <w:rPr>
          <w:rStyle w:val="FootnoteReference"/>
        </w:rPr>
        <w:footnoteRef/>
      </w:r>
      <w:r>
        <w:t xml:space="preserve"> </w:t>
      </w:r>
      <w:r>
        <w:t xml:space="preserve">BH00059</w:t>
      </w:r>
    </w:p>
  </w:footnote>
  <w:footnote w:id="854">
    <w:p>
      <w:pPr>
        <w:pStyle w:val="FootnoteText"/>
      </w:pPr>
      <w:r>
        <w:rPr>
          <w:rStyle w:val="FootnoteReference"/>
        </w:rPr>
        <w:footnoteRef/>
      </w:r>
      <w:r>
        <w:t xml:space="preserve"> </w:t>
      </w:r>
      <w:r>
        <w:t xml:space="preserve">BH06839</w:t>
      </w:r>
    </w:p>
  </w:footnote>
  <w:footnote w:id="855">
    <w:p>
      <w:pPr>
        <w:pStyle w:val="FootnoteText"/>
      </w:pPr>
      <w:r>
        <w:rPr>
          <w:rStyle w:val="FootnoteReference"/>
        </w:rPr>
        <w:footnoteRef/>
      </w:r>
      <w:r>
        <w:t xml:space="preserve"> </w:t>
      </w:r>
      <w:r>
        <w:t xml:space="preserve">BH04495</w:t>
      </w:r>
    </w:p>
  </w:footnote>
  <w:footnote w:id="856">
    <w:p>
      <w:pPr>
        <w:pStyle w:val="FootnoteText"/>
      </w:pPr>
      <w:r>
        <w:rPr>
          <w:rStyle w:val="FootnoteReference"/>
        </w:rPr>
        <w:footnoteRef/>
      </w:r>
      <w:r>
        <w:t xml:space="preserve"> </w:t>
      </w:r>
      <w:r>
        <w:t xml:space="preserve">BH06839</w:t>
      </w:r>
    </w:p>
  </w:footnote>
  <w:footnote w:id="857">
    <w:p>
      <w:pPr>
        <w:pStyle w:val="FootnoteText"/>
      </w:pPr>
      <w:r>
        <w:rPr>
          <w:rStyle w:val="FootnoteReference"/>
        </w:rPr>
        <w:footnoteRef/>
      </w:r>
      <w:r>
        <w:t xml:space="preserve"> </w:t>
      </w:r>
      <w:r>
        <w:t xml:space="preserve">BH04495</w:t>
      </w:r>
    </w:p>
  </w:footnote>
  <w:footnote w:id="861">
    <w:p>
      <w:pPr>
        <w:pStyle w:val="FootnoteText"/>
      </w:pPr>
      <w:r>
        <w:rPr>
          <w:rStyle w:val="FootnoteReference"/>
        </w:rPr>
        <w:footnoteRef/>
      </w:r>
      <w:r>
        <w:t xml:space="preserve"> </w:t>
      </w:r>
      <w:r>
        <w:t xml:space="preserve">Kitáb-i-Aqdas #21</w:t>
      </w:r>
    </w:p>
  </w:footnote>
  <w:footnote w:id="862">
    <w:p>
      <w:pPr>
        <w:pStyle w:val="FootnoteText"/>
      </w:pPr>
      <w:r>
        <w:rPr>
          <w:rStyle w:val="FootnoteReference"/>
        </w:rPr>
        <w:footnoteRef/>
      </w:r>
      <w:r>
        <w:t xml:space="preserve"> </w:t>
      </w:r>
      <w:r>
        <w:t xml:space="preserve">Kitáb-i-Aqdas #30</w:t>
      </w:r>
    </w:p>
  </w:footnote>
  <w:footnote w:id="863">
    <w:p>
      <w:pPr>
        <w:pStyle w:val="FootnoteText"/>
      </w:pPr>
      <w:r>
        <w:rPr>
          <w:rStyle w:val="FootnoteReference"/>
        </w:rPr>
        <w:footnoteRef/>
      </w:r>
      <w:r>
        <w:t xml:space="preserve"> </w:t>
      </w:r>
      <w:r>
        <w:t xml:space="preserve">Kitáb-i-Aqdas #52</w:t>
      </w:r>
    </w:p>
  </w:footnote>
  <w:footnote w:id="864">
    <w:p>
      <w:pPr>
        <w:pStyle w:val="FootnoteText"/>
      </w:pPr>
      <w:r>
        <w:rPr>
          <w:rStyle w:val="FootnoteReference"/>
        </w:rPr>
        <w:footnoteRef/>
      </w:r>
      <w:r>
        <w:t xml:space="preserve"> </w:t>
      </w:r>
      <w:r>
        <w:t xml:space="preserve">Tablet of Splendors, 8th Illumination</w:t>
      </w:r>
    </w:p>
  </w:footnote>
  <w:footnote w:id="865">
    <w:p>
      <w:pPr>
        <w:pStyle w:val="FootnoteText"/>
      </w:pPr>
      <w:r>
        <w:rPr>
          <w:rStyle w:val="FootnoteReference"/>
        </w:rPr>
        <w:footnoteRef/>
      </w:r>
      <w:r>
        <w:t xml:space="preserve"> </w:t>
      </w:r>
      <w:r>
        <w:t xml:space="preserve">Tablet of Splendors, 8th Illumination</w:t>
      </w:r>
    </w:p>
  </w:footnote>
  <w:footnote w:id="866">
    <w:p>
      <w:pPr>
        <w:pStyle w:val="FootnoteText"/>
      </w:pPr>
      <w:r>
        <w:rPr>
          <w:rStyle w:val="FootnoteReference"/>
        </w:rPr>
        <w:footnoteRef/>
      </w:r>
      <w:r>
        <w:t xml:space="preserve"> </w:t>
      </w:r>
      <w:r>
        <w:t xml:space="preserve">Kitáb-i-Aqdas #30</w:t>
      </w:r>
    </w:p>
  </w:footnote>
  <w:footnote w:id="867">
    <w:p>
      <w:pPr>
        <w:pStyle w:val="FootnoteText"/>
      </w:pPr>
      <w:r>
        <w:rPr>
          <w:rStyle w:val="FootnoteReference"/>
        </w:rPr>
        <w:footnoteRef/>
      </w:r>
      <w:r>
        <w:t xml:space="preserve"> </w:t>
      </w:r>
      <w:r>
        <w:t xml:space="preserve">Kitáb-i-Aqdas #42</w:t>
      </w:r>
    </w:p>
  </w:footnote>
  <w:footnote w:id="875">
    <w:p>
      <w:pPr>
        <w:pStyle w:val="FootnoteText"/>
      </w:pPr>
      <w:r>
        <w:rPr>
          <w:rStyle w:val="FootnoteReference"/>
        </w:rPr>
        <w:footnoteRef/>
      </w:r>
      <w:r>
        <w:t xml:space="preserve"> </w:t>
      </w:r>
      <w:r>
        <w:t xml:space="preserve">Lawḥ-i-Bishárát</w:t>
      </w:r>
    </w:p>
  </w:footnote>
  <w:footnote w:id="877">
    <w:p>
      <w:pPr>
        <w:pStyle w:val="FootnoteText"/>
      </w:pPr>
      <w:r>
        <w:rPr>
          <w:rStyle w:val="FootnoteReference"/>
        </w:rPr>
        <w:footnoteRef/>
      </w:r>
      <w:r>
        <w:t xml:space="preserve"> </w:t>
      </w:r>
      <w:r>
        <w:t xml:space="preserve">Lawḥ-i-Ishráqát</w:t>
      </w:r>
    </w:p>
  </w:footnote>
  <w:footnote w:id="878">
    <w:p>
      <w:pPr>
        <w:pStyle w:val="FootnoteText"/>
      </w:pPr>
      <w:r>
        <w:rPr>
          <w:rStyle w:val="FootnoteReference"/>
        </w:rPr>
        <w:footnoteRef/>
      </w:r>
      <w:r>
        <w:t xml:space="preserve"> </w:t>
      </w:r>
      <w:r>
        <w:t xml:space="preserve">Lawḥ-i-Dunyá (Tablet of the World)</w:t>
      </w:r>
    </w:p>
  </w:footnote>
  <w:footnote w:id="879">
    <w:p>
      <w:pPr>
        <w:pStyle w:val="FootnoteText"/>
      </w:pPr>
      <w:r>
        <w:rPr>
          <w:rStyle w:val="FootnoteReference"/>
        </w:rPr>
        <w:footnoteRef/>
      </w:r>
      <w:r>
        <w:t xml:space="preserve"> </w:t>
      </w:r>
      <w:r>
        <w:t xml:space="preserve">Kalimát-i-Firdawsíyyih (Words of Paradise)</w:t>
      </w:r>
    </w:p>
  </w:footnote>
  <w:footnote w:id="884">
    <w:p>
      <w:pPr>
        <w:pStyle w:val="FootnoteText"/>
      </w:pPr>
      <w:r>
        <w:rPr>
          <w:rStyle w:val="FootnoteReference"/>
        </w:rPr>
        <w:footnoteRef/>
      </w:r>
      <w:r>
        <w:t xml:space="preserve"> </w:t>
      </w:r>
      <w:r>
        <w:t xml:space="preserve">Lawḥ-i-Dunyá (Tablet of the World)</w:t>
      </w:r>
    </w:p>
  </w:footnote>
  <w:footnote w:id="886">
    <w:p>
      <w:pPr>
        <w:pStyle w:val="FootnoteText"/>
      </w:pPr>
      <w:r>
        <w:rPr>
          <w:rStyle w:val="FootnoteReference"/>
        </w:rPr>
        <w:footnoteRef/>
      </w:r>
      <w:r>
        <w:t xml:space="preserve"> </w:t>
      </w:r>
      <w:r>
        <w:t xml:space="preserve">Kitáb-i-Aqdas #85</w:t>
      </w:r>
    </w:p>
  </w:footnote>
  <w:footnote w:id="888">
    <w:p>
      <w:pPr>
        <w:pStyle w:val="FootnoteText"/>
      </w:pPr>
      <w:r>
        <w:rPr>
          <w:rStyle w:val="FootnoteReference"/>
        </w:rPr>
        <w:footnoteRef/>
      </w:r>
      <w:r>
        <w:t xml:space="preserve"> </w:t>
      </w:r>
      <w:r>
        <w:t xml:space="preserve">Kitáb-i-Aqdas #86</w:t>
      </w:r>
    </w:p>
  </w:footnote>
  <w:footnote w:id="891">
    <w:p>
      <w:pPr>
        <w:pStyle w:val="FootnoteText"/>
      </w:pPr>
      <w:r>
        <w:rPr>
          <w:rStyle w:val="FootnoteReference"/>
        </w:rPr>
        <w:footnoteRef/>
      </w:r>
      <w:r>
        <w:t xml:space="preserve"> </w:t>
      </w:r>
      <w:r>
        <w:t xml:space="preserve">Kitáb-i-Aqdas #88</w:t>
      </w:r>
    </w:p>
  </w:footnote>
  <w:footnote w:id="895">
    <w:p>
      <w:pPr>
        <w:pStyle w:val="FootnoteText"/>
      </w:pPr>
      <w:r>
        <w:rPr>
          <w:rStyle w:val="FootnoteReference"/>
        </w:rPr>
        <w:footnoteRef/>
      </w:r>
      <w:r>
        <w:t xml:space="preserve"> </w:t>
      </w:r>
      <w:r>
        <w:t xml:space="preserve">Kitáb-i-Aqdas #79</w:t>
      </w:r>
    </w:p>
  </w:footnote>
  <w:footnote w:id="896">
    <w:p>
      <w:pPr>
        <w:pStyle w:val="FootnoteText"/>
      </w:pPr>
      <w:r>
        <w:rPr>
          <w:rStyle w:val="FootnoteReference"/>
        </w:rPr>
        <w:footnoteRef/>
      </w:r>
      <w:r>
        <w:t xml:space="preserve"> </w:t>
      </w:r>
      <w:r>
        <w:t xml:space="preserve">Súríy-i-Mulúk #21</w:t>
      </w:r>
    </w:p>
  </w:footnote>
  <w:footnote w:id="897">
    <w:p>
      <w:pPr>
        <w:pStyle w:val="FootnoteText"/>
      </w:pPr>
      <w:r>
        <w:rPr>
          <w:rStyle w:val="FootnoteReference"/>
        </w:rPr>
        <w:footnoteRef/>
      </w:r>
      <w:r>
        <w:t xml:space="preserve"> </w:t>
      </w:r>
      <w:r>
        <w:t xml:space="preserve">Súríy-i-Mulúk #62</w:t>
      </w:r>
    </w:p>
  </w:footnote>
  <w:footnote w:id="898">
    <w:p>
      <w:pPr>
        <w:pStyle w:val="FootnoteText"/>
      </w:pPr>
      <w:r>
        <w:rPr>
          <w:rStyle w:val="FootnoteReference"/>
        </w:rPr>
        <w:footnoteRef/>
      </w:r>
      <w:r>
        <w:t xml:space="preserve"> </w:t>
      </w:r>
      <w:r>
        <w:t xml:space="preserve">Kitáb-i-Aqdas #82</w:t>
      </w:r>
    </w:p>
  </w:footnote>
  <w:footnote w:id="899">
    <w:p>
      <w:pPr>
        <w:pStyle w:val="FootnoteText"/>
      </w:pPr>
      <w:r>
        <w:rPr>
          <w:rStyle w:val="FootnoteReference"/>
        </w:rPr>
        <w:footnoteRef/>
      </w:r>
      <w:r>
        <w:t xml:space="preserve"> </w:t>
      </w:r>
      <w:r>
        <w:t xml:space="preserve">Súríy-i-Mulúk #61</w:t>
      </w:r>
    </w:p>
  </w:footnote>
  <w:footnote w:id="900">
    <w:p>
      <w:pPr>
        <w:pStyle w:val="FootnoteText"/>
      </w:pPr>
      <w:r>
        <w:rPr>
          <w:rStyle w:val="FootnoteReference"/>
        </w:rPr>
        <w:footnoteRef/>
      </w:r>
      <w:r>
        <w:t xml:space="preserve"> </w:t>
      </w:r>
      <w:r>
        <w:t xml:space="preserve">Kitáb-i-Aqdas #84</w:t>
      </w:r>
    </w:p>
  </w:footnote>
  <w:footnote w:id="901">
    <w:p>
      <w:pPr>
        <w:pStyle w:val="FootnoteText"/>
      </w:pPr>
      <w:r>
        <w:rPr>
          <w:rStyle w:val="FootnoteReference"/>
        </w:rPr>
        <w:footnoteRef/>
      </w:r>
      <w:r>
        <w:t xml:space="preserve"> </w:t>
      </w:r>
      <w:r>
        <w:t xml:space="preserve">Súríy-i-Mulúk #23</w:t>
      </w:r>
    </w:p>
  </w:footnote>
  <w:footnote w:id="903">
    <w:p>
      <w:pPr>
        <w:pStyle w:val="FootnoteText"/>
      </w:pPr>
      <w:r>
        <w:rPr>
          <w:rStyle w:val="FootnoteReference"/>
        </w:rPr>
        <w:footnoteRef/>
      </w:r>
      <w:r>
        <w:t xml:space="preserve"> </w:t>
      </w:r>
      <w:r>
        <w:t xml:space="preserve">Súríy-i-Mulúk #10</w:t>
      </w:r>
    </w:p>
  </w:footnote>
  <w:footnote w:id="904">
    <w:p>
      <w:pPr>
        <w:pStyle w:val="FootnoteText"/>
      </w:pPr>
      <w:r>
        <w:rPr>
          <w:rStyle w:val="FootnoteReference"/>
        </w:rPr>
        <w:footnoteRef/>
      </w:r>
      <w:r>
        <w:t xml:space="preserve"> </w:t>
      </w:r>
      <w:r>
        <w:t xml:space="preserve">Súríy-i-Mulúk #14</w:t>
      </w:r>
    </w:p>
  </w:footnote>
  <w:footnote w:id="905">
    <w:p>
      <w:pPr>
        <w:pStyle w:val="FootnoteText"/>
      </w:pPr>
      <w:r>
        <w:rPr>
          <w:rStyle w:val="FootnoteReference"/>
        </w:rPr>
        <w:footnoteRef/>
      </w:r>
      <w:r>
        <w:t xml:space="preserve"> </w:t>
      </w:r>
      <w:r>
        <w:t xml:space="preserve">Súríy-i-Mulúk #14</w:t>
      </w:r>
    </w:p>
  </w:footnote>
  <w:footnote w:id="906">
    <w:p>
      <w:pPr>
        <w:pStyle w:val="FootnoteText"/>
      </w:pPr>
      <w:r>
        <w:rPr>
          <w:rStyle w:val="FootnoteReference"/>
        </w:rPr>
        <w:footnoteRef/>
      </w:r>
      <w:r>
        <w:t xml:space="preserve"> </w:t>
      </w:r>
      <w:r>
        <w:t xml:space="preserve">Súríy-i-Mulúk #19</w:t>
      </w:r>
    </w:p>
  </w:footnote>
  <w:footnote w:id="907">
    <w:p>
      <w:pPr>
        <w:pStyle w:val="FootnoteText"/>
      </w:pPr>
      <w:r>
        <w:rPr>
          <w:rStyle w:val="FootnoteReference"/>
        </w:rPr>
        <w:footnoteRef/>
      </w:r>
      <w:r>
        <w:t xml:space="preserve"> </w:t>
      </w:r>
      <w:r>
        <w:t xml:space="preserve">Súríy-i-Mulúk #30</w:t>
      </w:r>
    </w:p>
  </w:footnote>
  <w:footnote w:id="908">
    <w:p>
      <w:pPr>
        <w:pStyle w:val="FootnoteText"/>
      </w:pPr>
      <w:r>
        <w:rPr>
          <w:rStyle w:val="FootnoteReference"/>
        </w:rPr>
        <w:footnoteRef/>
      </w:r>
      <w:r>
        <w:t xml:space="preserve"> </w:t>
      </w:r>
      <w:r>
        <w:t xml:space="preserve">Súríy-i-Mulúk #32</w:t>
      </w:r>
    </w:p>
  </w:footnote>
  <w:footnote w:id="909">
    <w:p>
      <w:pPr>
        <w:pStyle w:val="FootnoteText"/>
      </w:pPr>
      <w:r>
        <w:rPr>
          <w:rStyle w:val="FootnoteReference"/>
        </w:rPr>
        <w:footnoteRef/>
      </w:r>
      <w:r>
        <w:t xml:space="preserve"> </w:t>
      </w:r>
      <w:r>
        <w:t xml:space="preserve">Súríy-i-Mulúk #83</w:t>
      </w:r>
    </w:p>
  </w:footnote>
  <w:footnote w:id="910">
    <w:p>
      <w:pPr>
        <w:pStyle w:val="FootnoteText"/>
      </w:pPr>
      <w:r>
        <w:rPr>
          <w:rStyle w:val="FootnoteReference"/>
        </w:rPr>
        <w:footnoteRef/>
      </w:r>
      <w:r>
        <w:t xml:space="preserve"> </w:t>
      </w:r>
      <w:r>
        <w:t xml:space="preserve">Súríy-i-Mulúk #35</w:t>
      </w:r>
    </w:p>
  </w:footnote>
  <w:footnote w:id="911">
    <w:p>
      <w:pPr>
        <w:pStyle w:val="FootnoteText"/>
      </w:pPr>
      <w:r>
        <w:rPr>
          <w:rStyle w:val="FootnoteReference"/>
        </w:rPr>
        <w:footnoteRef/>
      </w:r>
      <w:r>
        <w:t xml:space="preserve"> </w:t>
      </w:r>
      <w:r>
        <w:t xml:space="preserve">Súríy-i-Mulúk #37</w:t>
      </w:r>
    </w:p>
  </w:footnote>
  <w:footnote w:id="912">
    <w:p>
      <w:pPr>
        <w:pStyle w:val="FootnoteText"/>
      </w:pPr>
      <w:r>
        <w:rPr>
          <w:rStyle w:val="FootnoteReference"/>
        </w:rPr>
        <w:footnoteRef/>
      </w:r>
      <w:r>
        <w:t xml:space="preserve"> </w:t>
      </w:r>
      <w:r>
        <w:t xml:space="preserve">Súríy-i-Mulúk #42</w:t>
      </w:r>
    </w:p>
  </w:footnote>
  <w:footnote w:id="914">
    <w:p>
      <w:pPr>
        <w:pStyle w:val="FootnoteText"/>
      </w:pPr>
      <w:r>
        <w:rPr>
          <w:rStyle w:val="FootnoteReference"/>
        </w:rPr>
        <w:footnoteRef/>
      </w:r>
      <w:r>
        <w:t xml:space="preserve"> </w:t>
      </w:r>
      <w:r>
        <w:t xml:space="preserve">Súríy-i-Mulúk #11</w:t>
      </w:r>
    </w:p>
  </w:footnote>
  <w:footnote w:id="915">
    <w:p>
      <w:pPr>
        <w:pStyle w:val="FootnoteText"/>
      </w:pPr>
      <w:r>
        <w:rPr>
          <w:rStyle w:val="FootnoteReference"/>
        </w:rPr>
        <w:footnoteRef/>
      </w:r>
      <w:r>
        <w:t xml:space="preserve"> </w:t>
      </w:r>
      <w:r>
        <w:t xml:space="preserve">Súríy-i-Mulúk #12</w:t>
      </w:r>
    </w:p>
  </w:footnote>
  <w:footnote w:id="916">
    <w:p>
      <w:pPr>
        <w:pStyle w:val="FootnoteText"/>
      </w:pPr>
      <w:r>
        <w:rPr>
          <w:rStyle w:val="FootnoteReference"/>
        </w:rPr>
        <w:footnoteRef/>
      </w:r>
      <w:r>
        <w:t xml:space="preserve"> </w:t>
      </w:r>
      <w:r>
        <w:t xml:space="preserve">Súríy-i-Mulúk #12</w:t>
      </w:r>
    </w:p>
  </w:footnote>
  <w:footnote w:id="917">
    <w:p>
      <w:pPr>
        <w:pStyle w:val="FootnoteText"/>
      </w:pPr>
      <w:r>
        <w:rPr>
          <w:rStyle w:val="FootnoteReference"/>
        </w:rPr>
        <w:footnoteRef/>
      </w:r>
      <w:r>
        <w:t xml:space="preserve"> </w:t>
      </w:r>
      <w:r>
        <w:t xml:space="preserve">Súríy-i-Mulúk #59</w:t>
      </w:r>
    </w:p>
  </w:footnote>
  <w:footnote w:id="919">
    <w:p>
      <w:pPr>
        <w:pStyle w:val="FootnoteText"/>
      </w:pPr>
      <w:r>
        <w:rPr>
          <w:rStyle w:val="FootnoteReference"/>
        </w:rPr>
        <w:footnoteRef/>
      </w:r>
      <w:r>
        <w:t xml:space="preserve"> </w:t>
      </w:r>
      <w:r>
        <w:t xml:space="preserve">Súríy-i-Mulúk #10</w:t>
      </w:r>
    </w:p>
  </w:footnote>
  <w:footnote w:id="920">
    <w:p>
      <w:pPr>
        <w:pStyle w:val="FootnoteText"/>
      </w:pPr>
      <w:r>
        <w:rPr>
          <w:rStyle w:val="FootnoteReference"/>
        </w:rPr>
        <w:footnoteRef/>
      </w:r>
      <w:r>
        <w:t xml:space="preserve"> </w:t>
      </w:r>
      <w:r>
        <w:t xml:space="preserve">Súríy-i-Mulúk #10</w:t>
      </w:r>
    </w:p>
  </w:footnote>
  <w:footnote w:id="921">
    <w:p>
      <w:pPr>
        <w:pStyle w:val="FootnoteText"/>
      </w:pPr>
      <w:r>
        <w:rPr>
          <w:rStyle w:val="FootnoteReference"/>
        </w:rPr>
        <w:footnoteRef/>
      </w:r>
      <w:r>
        <w:t xml:space="preserve"> </w:t>
      </w:r>
      <w:r>
        <w:t xml:space="preserve">Súríy-i-Mulúk #11</w:t>
      </w:r>
    </w:p>
  </w:footnote>
  <w:footnote w:id="922">
    <w:p>
      <w:pPr>
        <w:pStyle w:val="FootnoteText"/>
      </w:pPr>
      <w:r>
        <w:rPr>
          <w:rStyle w:val="FootnoteReference"/>
        </w:rPr>
        <w:footnoteRef/>
      </w:r>
      <w:r>
        <w:t xml:space="preserve"> </w:t>
      </w:r>
      <w:r>
        <w:t xml:space="preserve">Súríy-i-Mulúk #10</w:t>
      </w:r>
    </w:p>
  </w:footnote>
  <w:footnote w:id="924">
    <w:p>
      <w:pPr>
        <w:pStyle w:val="FootnoteText"/>
      </w:pPr>
      <w:r>
        <w:rPr>
          <w:rStyle w:val="FootnoteReference"/>
        </w:rPr>
        <w:footnoteRef/>
      </w:r>
      <w:r>
        <w:t xml:space="preserve"> </w:t>
      </w:r>
      <w:r>
        <w:t xml:space="preserve">Súríy-i-Mulúk #43</w:t>
      </w:r>
    </w:p>
  </w:footnote>
  <w:footnote w:id="925">
    <w:p>
      <w:pPr>
        <w:pStyle w:val="FootnoteText"/>
      </w:pPr>
      <w:r>
        <w:rPr>
          <w:rStyle w:val="FootnoteReference"/>
        </w:rPr>
        <w:footnoteRef/>
      </w:r>
      <w:r>
        <w:t xml:space="preserve"> </w:t>
      </w:r>
      <w:r>
        <w:t xml:space="preserve">Súríy-i-Mulúk #54</w:t>
      </w:r>
    </w:p>
  </w:footnote>
  <w:footnote w:id="926">
    <w:p>
      <w:pPr>
        <w:pStyle w:val="FootnoteText"/>
      </w:pPr>
      <w:r>
        <w:rPr>
          <w:rStyle w:val="FootnoteReference"/>
        </w:rPr>
        <w:footnoteRef/>
      </w:r>
      <w:r>
        <w:t xml:space="preserve"> </w:t>
      </w:r>
      <w:r>
        <w:t xml:space="preserve">Súríy-i-Mulúk #54</w:t>
      </w:r>
    </w:p>
  </w:footnote>
  <w:footnote w:id="927">
    <w:p>
      <w:pPr>
        <w:pStyle w:val="FootnoteText"/>
      </w:pPr>
      <w:r>
        <w:rPr>
          <w:rStyle w:val="FootnoteReference"/>
        </w:rPr>
        <w:footnoteRef/>
      </w:r>
      <w:r>
        <w:t xml:space="preserve"> </w:t>
      </w:r>
      <w:r>
        <w:t xml:space="preserve">Súríy-i-Mulúk #56</w:t>
      </w:r>
    </w:p>
  </w:footnote>
  <w:footnote w:id="932">
    <w:p>
      <w:pPr>
        <w:pStyle w:val="FootnoteText"/>
      </w:pPr>
      <w:r>
        <w:rPr>
          <w:rStyle w:val="FootnoteReference"/>
        </w:rPr>
        <w:footnoteRef/>
      </w:r>
      <w:r>
        <w:t xml:space="preserve"> </w:t>
      </w:r>
      <w:r>
        <w:t xml:space="preserve">Kitáb-i-Aqdas #89</w:t>
      </w:r>
    </w:p>
  </w:footnote>
  <w:footnote w:id="935">
    <w:p>
      <w:pPr>
        <w:pStyle w:val="FootnoteText"/>
      </w:pPr>
      <w:r>
        <w:rPr>
          <w:rStyle w:val="FootnoteReference"/>
        </w:rPr>
        <w:footnoteRef/>
      </w:r>
      <w:r>
        <w:t xml:space="preserve"> </w:t>
      </w:r>
      <w:r>
        <w:t xml:space="preserve">Kitáb-i-Aqdas #90</w:t>
      </w:r>
    </w:p>
  </w:footnote>
  <w:footnote w:id="938">
    <w:p>
      <w:pPr>
        <w:pStyle w:val="FootnoteText"/>
      </w:pPr>
      <w:r>
        <w:rPr>
          <w:rStyle w:val="FootnoteReference"/>
        </w:rPr>
        <w:footnoteRef/>
      </w:r>
      <w:r>
        <w:t xml:space="preserve"> </w:t>
      </w:r>
      <w:r>
        <w:t xml:space="preserve">Kitáb-i-Aqdas #91 - #93</w:t>
      </w:r>
    </w:p>
  </w:footnote>
  <w:footnote w:id="940">
    <w:p>
      <w:pPr>
        <w:pStyle w:val="FootnoteText"/>
      </w:pPr>
      <w:r>
        <w:rPr>
          <w:rStyle w:val="FootnoteReference"/>
        </w:rPr>
        <w:footnoteRef/>
      </w:r>
      <w:r>
        <w:t xml:space="preserve"> </w:t>
      </w:r>
      <w:r>
        <w:t xml:space="preserve">Kitáb-i-Aqdas #94</w:t>
      </w:r>
    </w:p>
  </w:footnote>
  <w:footnote w:id="942">
    <w:p>
      <w:pPr>
        <w:pStyle w:val="FootnoteText"/>
      </w:pPr>
      <w:r>
        <w:rPr>
          <w:rStyle w:val="FootnoteReference"/>
        </w:rPr>
        <w:footnoteRef/>
      </w:r>
      <w:r>
        <w:t xml:space="preserve"> </w:t>
      </w:r>
      <w:r>
        <w:t xml:space="preserve">Kitáb-i-Aqdas #95</w:t>
      </w:r>
    </w:p>
  </w:footnote>
  <w:footnote w:id="949">
    <w:p>
      <w:pPr>
        <w:pStyle w:val="FootnoteText"/>
      </w:pPr>
      <w:r>
        <w:rPr>
          <w:rStyle w:val="FootnoteReference"/>
        </w:rPr>
        <w:footnoteRef/>
      </w:r>
      <w:r>
        <w:t xml:space="preserve"> </w:t>
      </w:r>
      <w:r>
        <w:t xml:space="preserve">Kitáb-i-Aqdas #101</w:t>
      </w:r>
    </w:p>
  </w:footnote>
  <w:footnote w:id="952">
    <w:p>
      <w:pPr>
        <w:pStyle w:val="FootnoteText"/>
      </w:pPr>
      <w:r>
        <w:rPr>
          <w:rStyle w:val="FootnoteReference"/>
        </w:rPr>
        <w:footnoteRef/>
      </w:r>
      <w:r>
        <w:t xml:space="preserve"> </w:t>
      </w:r>
      <w:r>
        <w:t xml:space="preserve">Kitáb-i-Aqdas #166</w:t>
      </w:r>
    </w:p>
  </w:footnote>
  <w:footnote w:id="954">
    <w:p>
      <w:pPr>
        <w:pStyle w:val="FootnoteText"/>
      </w:pPr>
      <w:r>
        <w:rPr>
          <w:rStyle w:val="FootnoteReference"/>
        </w:rPr>
        <w:footnoteRef/>
      </w:r>
      <w:r>
        <w:t xml:space="preserve"> </w:t>
      </w:r>
      <w:r>
        <w:t xml:space="preserve">Kitáb-i-Aqdas #170</w:t>
      </w:r>
    </w:p>
  </w:footnote>
  <w:footnote w:id="955">
    <w:p>
      <w:pPr>
        <w:pStyle w:val="FootnoteText"/>
      </w:pPr>
      <w:r>
        <w:rPr>
          <w:rStyle w:val="FootnoteReference"/>
        </w:rPr>
        <w:footnoteRef/>
      </w:r>
      <w:r>
        <w:t xml:space="preserve"> </w:t>
      </w:r>
      <w:hyperlink r:id="rId956">
        <w:r>
          <w:rPr>
            <w:rStyle w:val="Hyperlink"/>
          </w:rPr>
          <w:t xml:space="preserve">https://hurqalya.ucmerced.edu/node/24</w:t>
        </w:r>
      </w:hyperlink>
    </w:p>
  </w:footnote>
  <w:footnote w:id="957">
    <w:p>
      <w:pPr>
        <w:pStyle w:val="FootnoteText"/>
      </w:pPr>
      <w:r>
        <w:rPr>
          <w:rStyle w:val="FootnoteReference"/>
        </w:rPr>
        <w:footnoteRef/>
      </w:r>
      <w:r>
        <w:t xml:space="preserve"> </w:t>
      </w:r>
      <w:r>
        <w:t xml:space="preserve">BH00078</w:t>
      </w:r>
    </w:p>
  </w:footnote>
  <w:footnote w:id="959">
    <w:p>
      <w:pPr>
        <w:pStyle w:val="FootnoteText"/>
      </w:pPr>
      <w:r>
        <w:rPr>
          <w:rStyle w:val="FootnoteReference"/>
        </w:rPr>
        <w:footnoteRef/>
      </w:r>
      <w:r>
        <w:t xml:space="preserve"> </w:t>
      </w:r>
      <w:r>
        <w:t xml:space="preserve">Kitáb-i-Aqdas #184</w:t>
      </w:r>
    </w:p>
  </w:footnote>
  <w:footnote w:id="960">
    <w:p>
      <w:pPr>
        <w:pStyle w:val="FootnoteText"/>
      </w:pPr>
      <w:r>
        <w:rPr>
          <w:rStyle w:val="FootnoteReference"/>
        </w:rPr>
        <w:footnoteRef/>
      </w:r>
      <w:r>
        <w:t xml:space="preserve"> </w:t>
      </w:r>
      <w:r>
        <w:t xml:space="preserve">The Testament of the Honored Primal Point (BB00210)</w:t>
      </w:r>
    </w:p>
  </w:footnote>
  <w:footnote w:id="963">
    <w:p>
      <w:pPr>
        <w:pStyle w:val="FootnoteText"/>
      </w:pPr>
      <w:r>
        <w:rPr>
          <w:rStyle w:val="FootnoteReference"/>
        </w:rPr>
        <w:footnoteRef/>
      </w:r>
      <w:r>
        <w:t xml:space="preserve"> </w:t>
      </w:r>
      <w:r>
        <w:t xml:space="preserve">Kitáb-i-Aqdas #36</w:t>
      </w:r>
    </w:p>
  </w:footnote>
  <w:footnote w:id="964">
    <w:p>
      <w:pPr>
        <w:pStyle w:val="FootnoteText"/>
      </w:pPr>
      <w:r>
        <w:rPr>
          <w:rStyle w:val="FootnoteReference"/>
        </w:rPr>
        <w:footnoteRef/>
      </w:r>
      <w:r>
        <w:t xml:space="preserve"> </w:t>
      </w:r>
      <w:r>
        <w:t xml:space="preserve">Kitáb-i-Aqdas #17</w:t>
      </w:r>
    </w:p>
  </w:footnote>
  <w:footnote w:id="965">
    <w:p>
      <w:pPr>
        <w:pStyle w:val="FootnoteText"/>
      </w:pPr>
      <w:r>
        <w:rPr>
          <w:rStyle w:val="FootnoteReference"/>
        </w:rPr>
        <w:footnoteRef/>
      </w:r>
      <w:r>
        <w:t xml:space="preserve"> </w:t>
      </w:r>
      <w:r>
        <w:t xml:space="preserve">Kitáb-i-Aqdas #35</w:t>
      </w:r>
    </w:p>
  </w:footnote>
  <w:footnote w:id="966">
    <w:p>
      <w:pPr>
        <w:pStyle w:val="FootnoteText"/>
      </w:pPr>
      <w:r>
        <w:rPr>
          <w:rStyle w:val="FootnoteReference"/>
        </w:rPr>
        <w:footnoteRef/>
      </w:r>
      <w:r>
        <w:t xml:space="preserve"> </w:t>
      </w:r>
      <w:r>
        <w:t xml:space="preserve">Kitáb-i-Aqdas #36</w:t>
      </w:r>
    </w:p>
  </w:footnote>
  <w:footnote w:id="967">
    <w:p>
      <w:pPr>
        <w:pStyle w:val="FootnoteText"/>
      </w:pPr>
      <w:r>
        <w:rPr>
          <w:rStyle w:val="FootnoteReference"/>
        </w:rPr>
        <w:footnoteRef/>
      </w:r>
      <w:r>
        <w:t xml:space="preserve"> </w:t>
      </w:r>
      <w:r>
        <w:t xml:space="preserve">Kitáb-i-Aqdas #162</w:t>
      </w:r>
    </w:p>
  </w:footnote>
  <w:footnote w:id="968">
    <w:p>
      <w:pPr>
        <w:pStyle w:val="FootnoteText"/>
      </w:pPr>
      <w:r>
        <w:rPr>
          <w:rStyle w:val="FootnoteReference"/>
        </w:rPr>
        <w:footnoteRef/>
      </w:r>
      <w:r>
        <w:t xml:space="preserve"> </w:t>
      </w:r>
      <w:r>
        <w:t xml:space="preserve">Kitáb-i-Aqdas #52</w:t>
      </w:r>
    </w:p>
  </w:footnote>
  <w:footnote w:id="969">
    <w:p>
      <w:pPr>
        <w:pStyle w:val="FootnoteText"/>
      </w:pPr>
      <w:r>
        <w:rPr>
          <w:rStyle w:val="FootnoteReference"/>
        </w:rPr>
        <w:footnoteRef/>
      </w:r>
      <w:r>
        <w:t xml:space="preserve"> </w:t>
      </w:r>
      <w:r>
        <w:t xml:space="preserve">Kitáb-i-Aqdas #39</w:t>
      </w:r>
    </w:p>
  </w:footnote>
  <w:footnote w:id="970">
    <w:p>
      <w:pPr>
        <w:pStyle w:val="FootnoteText"/>
      </w:pPr>
      <w:r>
        <w:rPr>
          <w:rStyle w:val="FootnoteReference"/>
        </w:rPr>
        <w:footnoteRef/>
      </w:r>
      <w:r>
        <w:t xml:space="preserve"> </w:t>
      </w:r>
      <w:r>
        <w:t xml:space="preserve">Kitáb-i-Aqdas #105</w:t>
      </w:r>
    </w:p>
  </w:footnote>
  <w:footnote w:id="976">
    <w:p>
      <w:pPr>
        <w:pStyle w:val="FootnoteText"/>
      </w:pPr>
      <w:r>
        <w:rPr>
          <w:rStyle w:val="FootnoteReference"/>
        </w:rPr>
        <w:footnoteRef/>
      </w:r>
      <w:r>
        <w:t xml:space="preserve"> </w:t>
      </w:r>
      <w:r>
        <w:t xml:space="preserve">Kitáb-i-Aqdas #42</w:t>
      </w:r>
    </w:p>
  </w:footnote>
  <w:footnote w:id="979">
    <w:p>
      <w:pPr>
        <w:pStyle w:val="FootnoteText"/>
      </w:pPr>
      <w:r>
        <w:rPr>
          <w:rStyle w:val="FootnoteReference"/>
        </w:rPr>
        <w:footnoteRef/>
      </w:r>
      <w:r>
        <w:t xml:space="preserve"> </w:t>
      </w:r>
      <w:r>
        <w:t xml:space="preserve">BH00314</w:t>
      </w:r>
    </w:p>
  </w:footnote>
  <w:footnote w:id="980">
    <w:p>
      <w:pPr>
        <w:pStyle w:val="FootnoteText"/>
      </w:pPr>
      <w:r>
        <w:rPr>
          <w:rStyle w:val="FootnoteReference"/>
        </w:rPr>
        <w:footnoteRef/>
      </w:r>
      <w:r>
        <w:t xml:space="preserve"> </w:t>
      </w:r>
      <w:r>
        <w:t xml:space="preserve">BH09144</w:t>
      </w:r>
    </w:p>
  </w:footnote>
  <w:footnote w:id="982">
    <w:p>
      <w:pPr>
        <w:pStyle w:val="FootnoteText"/>
      </w:pPr>
      <w:r>
        <w:rPr>
          <w:rStyle w:val="FootnoteReference"/>
        </w:rPr>
        <w:footnoteRef/>
      </w:r>
      <w:r>
        <w:t xml:space="preserve"> </w:t>
      </w:r>
      <w:r>
        <w:t xml:space="preserve">BH07364</w:t>
      </w:r>
    </w:p>
  </w:footnote>
  <w:footnote w:id="983">
    <w:p>
      <w:pPr>
        <w:pStyle w:val="FootnoteText"/>
      </w:pPr>
      <w:r>
        <w:rPr>
          <w:rStyle w:val="FootnoteReference"/>
        </w:rPr>
        <w:footnoteRef/>
      </w:r>
      <w:r>
        <w:t xml:space="preserve"> </w:t>
      </w:r>
      <w:r>
        <w:t xml:space="preserve">BH09434</w:t>
      </w:r>
    </w:p>
  </w:footnote>
  <w:footnote w:id="985">
    <w:p>
      <w:pPr>
        <w:pStyle w:val="FootnoteText"/>
      </w:pPr>
      <w:r>
        <w:rPr>
          <w:rStyle w:val="FootnoteReference"/>
        </w:rPr>
        <w:footnoteRef/>
      </w:r>
      <w:r>
        <w:t xml:space="preserve"> </w:t>
      </w:r>
      <w:r>
        <w:t xml:space="preserve">BH06516</w:t>
      </w:r>
    </w:p>
  </w:footnote>
  <w:footnote w:id="986">
    <w:p>
      <w:pPr>
        <w:pStyle w:val="FootnoteText"/>
      </w:pPr>
      <w:r>
        <w:rPr>
          <w:rStyle w:val="FootnoteReference"/>
        </w:rPr>
        <w:footnoteRef/>
      </w:r>
      <w:r>
        <w:t xml:space="preserve"> </w:t>
      </w:r>
      <w:r>
        <w:t xml:space="preserve">BH03971</w:t>
      </w:r>
    </w:p>
  </w:footnote>
  <w:footnote w:id="988">
    <w:p>
      <w:pPr>
        <w:pStyle w:val="FootnoteText"/>
      </w:pPr>
      <w:r>
        <w:rPr>
          <w:rStyle w:val="FootnoteReference"/>
        </w:rPr>
        <w:footnoteRef/>
      </w:r>
      <w:r>
        <w:t xml:space="preserve"> </w:t>
      </w:r>
      <w:r>
        <w:t xml:space="preserve">BH11823</w:t>
      </w:r>
    </w:p>
  </w:footnote>
  <w:footnote w:id="989">
    <w:p>
      <w:pPr>
        <w:pStyle w:val="FootnoteText"/>
      </w:pPr>
      <w:r>
        <w:rPr>
          <w:rStyle w:val="FootnoteReference"/>
        </w:rPr>
        <w:footnoteRef/>
      </w:r>
      <w:r>
        <w:t xml:space="preserve"> </w:t>
      </w:r>
      <w:r>
        <w:t xml:space="preserve">BH10221</w:t>
      </w:r>
    </w:p>
  </w:footnote>
  <w:footnote w:id="992">
    <w:p>
      <w:pPr>
        <w:pStyle w:val="FootnoteText"/>
      </w:pPr>
      <w:r>
        <w:rPr>
          <w:rStyle w:val="FootnoteReference"/>
        </w:rPr>
        <w:footnoteRef/>
      </w:r>
      <w:r>
        <w:t xml:space="preserve"> </w:t>
      </w:r>
      <w:r>
        <w:t xml:space="preserve">Kitáb-i-Aqdas #174</w:t>
      </w:r>
    </w:p>
  </w:footnote>
  <w:footnote w:id="999">
    <w:p>
      <w:pPr>
        <w:pStyle w:val="FootnoteText"/>
      </w:pPr>
      <w:r>
        <w:rPr>
          <w:rStyle w:val="FootnoteReference"/>
        </w:rPr>
        <w:footnoteRef/>
      </w:r>
      <w:r>
        <w:t xml:space="preserve"> </w:t>
      </w:r>
      <w:r>
        <w:t xml:space="preserve">Lawḥ-i-Bishárát (The Tablet of Glad-Tidings)</w:t>
      </w:r>
    </w:p>
  </w:footnote>
  <w:footnote w:id="1010">
    <w:p>
      <w:pPr>
        <w:pStyle w:val="FootnoteText"/>
      </w:pPr>
      <w:r>
        <w:rPr>
          <w:rStyle w:val="FootnoteReference"/>
        </w:rPr>
        <w:footnoteRef/>
      </w:r>
      <w:r>
        <w:t xml:space="preserve"> </w:t>
      </w:r>
      <w:r>
        <w:t xml:space="preserve">Kitáb-i-Aqdas #117</w:t>
      </w:r>
    </w:p>
  </w:footnote>
  <w:footnote w:id="1011">
    <w:p>
      <w:pPr>
        <w:pStyle w:val="FootnoteText"/>
      </w:pPr>
      <w:r>
        <w:rPr>
          <w:rStyle w:val="FootnoteReference"/>
        </w:rPr>
        <w:footnoteRef/>
      </w:r>
      <w:r>
        <w:t xml:space="preserve"> </w:t>
      </w:r>
      <w:r>
        <w:t xml:space="preserve">Kitáb-i-Aqdas #75</w:t>
      </w:r>
    </w:p>
  </w:footnote>
  <w:footnote w:id="1013">
    <w:p>
      <w:pPr>
        <w:pStyle w:val="FootnoteText"/>
      </w:pPr>
      <w:r>
        <w:rPr>
          <w:rStyle w:val="FootnoteReference"/>
        </w:rPr>
        <w:footnoteRef/>
      </w:r>
      <w:r>
        <w:t xml:space="preserve"> </w:t>
      </w:r>
      <w:r>
        <w:t xml:space="preserve">Kitáb-i-Aqdas #118</w:t>
      </w:r>
    </w:p>
  </w:footnote>
  <w:footnote w:id="1014">
    <w:p>
      <w:pPr>
        <w:pStyle w:val="FootnoteText"/>
      </w:pPr>
      <w:r>
        <w:rPr>
          <w:rStyle w:val="FootnoteReference"/>
        </w:rPr>
        <w:footnoteRef/>
      </w:r>
      <w:r>
        <w:t xml:space="preserve"> </w:t>
      </w:r>
      <w:r>
        <w:t xml:space="preserve">Kitáb-i-Aqdas #100</w:t>
      </w:r>
    </w:p>
  </w:footnote>
  <w:footnote w:id="1015">
    <w:p>
      <w:pPr>
        <w:pStyle w:val="FootnoteText"/>
      </w:pPr>
      <w:r>
        <w:rPr>
          <w:rStyle w:val="FootnoteReference"/>
        </w:rPr>
        <w:footnoteRef/>
      </w:r>
      <w:r>
        <w:t xml:space="preserve"> </w:t>
      </w:r>
      <w:r>
        <w:t xml:space="preserve">Kitáb-i-Aqdas #134</w:t>
      </w:r>
    </w:p>
  </w:footnote>
  <w:footnote w:id="1019">
    <w:p>
      <w:pPr>
        <w:pStyle w:val="FootnoteText"/>
      </w:pPr>
      <w:r>
        <w:rPr>
          <w:rStyle w:val="FootnoteReference"/>
        </w:rPr>
        <w:footnoteRef/>
      </w:r>
      <w:r>
        <w:t xml:space="preserve"> </w:t>
      </w:r>
      <w:r>
        <w:t xml:space="preserve">Kitáb-i-Aqdas #73</w:t>
      </w:r>
    </w:p>
  </w:footnote>
  <w:footnote w:id="1041">
    <w:p>
      <w:pPr>
        <w:pStyle w:val="FootnoteText"/>
      </w:pPr>
      <w:r>
        <w:rPr>
          <w:rStyle w:val="FootnoteReference"/>
        </w:rPr>
        <w:footnoteRef/>
      </w:r>
      <w:r>
        <w:t xml:space="preserve"> </w:t>
      </w:r>
      <w:r>
        <w:t xml:space="preserve">BH01964</w:t>
      </w:r>
    </w:p>
  </w:footnote>
  <w:footnote w:id="1049">
    <w:p>
      <w:pPr>
        <w:pStyle w:val="FootnoteText"/>
      </w:pPr>
      <w:r>
        <w:rPr>
          <w:rStyle w:val="FootnoteReference"/>
        </w:rPr>
        <w:footnoteRef/>
      </w:r>
      <w:r>
        <w:t xml:space="preserve"> </w:t>
      </w:r>
      <w:r>
        <w:t xml:space="preserve">Marcinkowski, M. Ismail,</w:t>
      </w:r>
      <w:r>
        <w:t xml:space="preserve"> </w:t>
      </w:r>
      <w:r>
        <w:rPr>
          <w:iCs/>
          <w:i/>
        </w:rPr>
        <w:t xml:space="preserve">Measures and Weights in the Islamic World: An English Translation of Walther Hinz’s Handbook</w:t>
      </w:r>
      <w:r>
        <w:rPr>
          <w:iCs/>
          <w:i/>
        </w:rPr>
        <w:t xml:space="preserve"> </w:t>
      </w:r>
      <w:r>
        <w:rPr>
          <w:iCs/>
          <w:i/>
        </w:rPr>
        <w:t xml:space="preserve">“</w:t>
      </w:r>
      <w:r>
        <w:rPr>
          <w:iCs/>
          <w:i/>
        </w:rPr>
        <w:t xml:space="preserve">Islamsche Masse und Gewichte</w:t>
      </w:r>
      <w:r>
        <w:rPr>
          <w:iCs/>
          <w:i/>
        </w:rPr>
        <w:t xml:space="preserve">”</w:t>
      </w:r>
      <w:r>
        <w:t xml:space="preserve"> </w:t>
      </w:r>
      <w:r>
        <w:t xml:space="preserve">(2003)</w:t>
      </w:r>
    </w:p>
  </w:footnote>
  <w:footnote w:id="1057">
    <w:p>
      <w:pPr>
        <w:pStyle w:val="FootnoteText"/>
      </w:pPr>
      <w:r>
        <w:rPr>
          <w:rStyle w:val="FootnoteReference"/>
        </w:rPr>
        <w:footnoteRef/>
      </w:r>
      <w:r>
        <w:t xml:space="preserve"> </w:t>
      </w:r>
      <w:r>
        <w:t xml:space="preserve">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w:t>
      </w:r>
    </w:p>
  </w:footnote>
  <w:footnote w:id="1058">
    <w:p>
      <w:pPr>
        <w:pStyle w:val="FootnoteText"/>
      </w:pPr>
      <w:r>
        <w:rPr>
          <w:rStyle w:val="FootnoteReference"/>
        </w:rPr>
        <w:footnoteRef/>
      </w:r>
      <w:r>
        <w:t xml:space="preserve"> </w:t>
      </w:r>
      <w:r>
        <w:t xml:space="preserve">France was under the Third Republic in 1873. It was not ruled by a monarch but by a President, Patrice de MacMahon, who governed the French colonies in the Americas such as French Guiana and Martinique.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482775B"/>
    <w:multiLevelType w:val="multilevel"/>
    <w:tmpl w:val="0EBA3C40"/>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170CD2DE"/>
    <w:multiLevelType w:val="multilevel"/>
    <w:tmpl w:val="A61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611">
    <w:nsid w:val="A9961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16cid:durableId="1647472164" w:numId="1">
    <w:abstractNumId w:val="1"/>
  </w:num>
  <w:num w16cid:durableId="624242287" w:numId="2">
    <w:abstractNumId w:val="0"/>
  </w:num>
  <w:num w16cid:durableId="1693067116" w:numId="3">
    <w:abstractNumId w:val="0"/>
  </w:num>
  <w:num w16cid:durableId="1038823526" w:numId="4">
    <w:abstractNumId w:val="0"/>
  </w:num>
  <w:num w16cid:durableId="321011620" w:numId="5">
    <w:abstractNumId w:val="0"/>
  </w:num>
  <w:num w16cid:durableId="36123960" w:numId="6">
    <w:abstractNumId w:val="0"/>
  </w:num>
  <w:num w16cid:durableId="1403406131" w:numId="7">
    <w:abstractNumId w:val="0"/>
  </w:num>
  <w:num w16cid:durableId="1215583538" w:numId="8">
    <w:abstractNumId w:val="0"/>
  </w:num>
  <w:num w16cid:durableId="1996492001" w:numId="9">
    <w:abstractNumId w:val="0"/>
  </w:num>
  <w:num w16cid:durableId="1115294501" w:numId="10">
    <w:abstractNumId w:val="0"/>
  </w:num>
  <w:num w16cid:durableId="2033913365" w:numId="1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bidi="ar-SA"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33E27"/>
  </w:style>
  <w:style w:styleId="Heading1" w:type="paragraph">
    <w:name w:val="heading 1"/>
    <w:basedOn w:val="Normal"/>
    <w:next w:val="Normal"/>
    <w:link w:val="Heading1Char"/>
    <w:uiPriority w:val="9"/>
    <w:qFormat/>
    <w:rsid w:val="00933E27"/>
    <w:pPr>
      <w:keepNext/>
      <w:keepLines/>
      <w:spacing w:after="0" w:before="480"/>
      <w:outlineLvl w:val="0"/>
    </w:pPr>
    <w:rPr>
      <w:rFonts w:asciiTheme="majorHAnsi" w:cstheme="majorBidi" w:eastAsiaTheme="majorEastAsia" w:hAnsiTheme="majorHAnsi"/>
      <w:b/>
      <w:bCs/>
      <w:color w:themeColor="accent1" w:themeShade="BF" w:val="328D9F"/>
      <w:sz w:val="28"/>
      <w:szCs w:val="28"/>
    </w:rPr>
  </w:style>
  <w:style w:styleId="Heading2" w:type="paragraph">
    <w:name w:val="heading 2"/>
    <w:basedOn w:val="Normal"/>
    <w:next w:val="Normal"/>
    <w:link w:val="Heading2Char"/>
    <w:uiPriority w:val="9"/>
    <w:unhideWhenUsed/>
    <w:qFormat/>
    <w:rsid w:val="00933E27"/>
    <w:pPr>
      <w:keepNext/>
      <w:keepLines/>
      <w:spacing w:after="0" w:before="200"/>
      <w:outlineLvl w:val="1"/>
    </w:pPr>
    <w:rPr>
      <w:rFonts w:asciiTheme="majorHAnsi" w:cstheme="majorBidi" w:eastAsiaTheme="majorEastAsia" w:hAnsiTheme="majorHAnsi"/>
      <w:b/>
      <w:bCs/>
      <w:color w:themeColor="accent1" w:val="50B4C8"/>
      <w:sz w:val="26"/>
      <w:szCs w:val="26"/>
    </w:rPr>
  </w:style>
  <w:style w:styleId="Heading3" w:type="paragraph">
    <w:name w:val="heading 3"/>
    <w:basedOn w:val="Normal"/>
    <w:next w:val="Normal"/>
    <w:link w:val="Heading3Char"/>
    <w:uiPriority w:val="9"/>
    <w:unhideWhenUsed/>
    <w:qFormat/>
    <w:rsid w:val="00933E27"/>
    <w:pPr>
      <w:keepNext/>
      <w:keepLines/>
      <w:spacing w:after="0" w:before="200"/>
      <w:outlineLvl w:val="2"/>
    </w:pPr>
    <w:rPr>
      <w:rFonts w:asciiTheme="majorHAnsi" w:cstheme="majorBidi" w:eastAsiaTheme="majorEastAsia" w:hAnsiTheme="majorHAnsi"/>
      <w:b/>
      <w:bCs/>
      <w:color w:themeColor="accent1" w:val="50B4C8"/>
    </w:rPr>
  </w:style>
  <w:style w:styleId="Heading4" w:type="paragraph">
    <w:name w:val="heading 4"/>
    <w:basedOn w:val="Normal"/>
    <w:next w:val="Normal"/>
    <w:link w:val="Heading4Char"/>
    <w:uiPriority w:val="9"/>
    <w:unhideWhenUsed/>
    <w:qFormat/>
    <w:rsid w:val="00933E27"/>
    <w:pPr>
      <w:keepNext/>
      <w:keepLines/>
      <w:spacing w:after="0" w:before="200"/>
      <w:outlineLvl w:val="3"/>
    </w:pPr>
    <w:rPr>
      <w:rFonts w:asciiTheme="majorHAnsi" w:cstheme="majorBidi" w:eastAsiaTheme="majorEastAsia" w:hAnsiTheme="majorHAnsi"/>
      <w:b/>
      <w:bCs/>
      <w:i/>
      <w:iCs/>
      <w:color w:themeColor="accent1" w:val="50B4C8"/>
    </w:rPr>
  </w:style>
  <w:style w:styleId="Heading5" w:type="paragraph">
    <w:name w:val="heading 5"/>
    <w:basedOn w:val="Normal"/>
    <w:next w:val="Normal"/>
    <w:link w:val="Heading5Char"/>
    <w:uiPriority w:val="9"/>
    <w:unhideWhenUsed/>
    <w:qFormat/>
    <w:rsid w:val="00933E27"/>
    <w:pPr>
      <w:keepNext/>
      <w:keepLines/>
      <w:spacing w:after="0" w:before="200"/>
      <w:outlineLvl w:val="4"/>
    </w:pPr>
    <w:rPr>
      <w:rFonts w:asciiTheme="majorHAnsi" w:cstheme="majorBidi" w:eastAsiaTheme="majorEastAsia" w:hAnsiTheme="majorHAnsi"/>
      <w:color w:themeColor="accent1" w:themeShade="7F" w:val="215D6A"/>
    </w:rPr>
  </w:style>
  <w:style w:styleId="Heading6" w:type="paragraph">
    <w:name w:val="heading 6"/>
    <w:basedOn w:val="Normal"/>
    <w:next w:val="Normal"/>
    <w:link w:val="Heading6Char"/>
    <w:uiPriority w:val="9"/>
    <w:unhideWhenUsed/>
    <w:qFormat/>
    <w:rsid w:val="00933E27"/>
    <w:pPr>
      <w:keepNext/>
      <w:keepLines/>
      <w:spacing w:after="0" w:before="200"/>
      <w:outlineLvl w:val="5"/>
    </w:pPr>
    <w:rPr>
      <w:rFonts w:asciiTheme="majorHAnsi" w:cstheme="majorBidi" w:eastAsiaTheme="majorEastAsia" w:hAnsiTheme="majorHAnsi"/>
      <w:i/>
      <w:iCs/>
      <w:color w:themeColor="accent1" w:themeShade="7F" w:val="215D6A"/>
    </w:rPr>
  </w:style>
  <w:style w:styleId="Heading7" w:type="paragraph">
    <w:name w:val="heading 7"/>
    <w:basedOn w:val="Normal"/>
    <w:next w:val="Normal"/>
    <w:link w:val="Heading7Char"/>
    <w:uiPriority w:val="9"/>
    <w:unhideWhenUsed/>
    <w:qFormat/>
    <w:rsid w:val="00933E27"/>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933E27"/>
    <w:pPr>
      <w:keepNext/>
      <w:keepLines/>
      <w:spacing w:after="0" w:before="200"/>
      <w:outlineLvl w:val="7"/>
    </w:pPr>
    <w:rPr>
      <w:rFonts w:asciiTheme="majorHAnsi" w:cstheme="majorBidi" w:eastAsiaTheme="majorEastAsia" w:hAnsiTheme="majorHAnsi"/>
      <w:color w:themeColor="accent1" w:val="50B4C8"/>
      <w:sz w:val="20"/>
      <w:szCs w:val="20"/>
    </w:rPr>
  </w:style>
  <w:style w:styleId="Heading9" w:type="paragraph">
    <w:name w:val="heading 9"/>
    <w:basedOn w:val="Normal"/>
    <w:next w:val="Normal"/>
    <w:link w:val="Heading9Char"/>
    <w:uiPriority w:val="9"/>
    <w:unhideWhenUsed/>
    <w:qFormat/>
    <w:rsid w:val="00933E27"/>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pPr>
      <w:spacing w:after="36" w:before="36"/>
    </w:pPr>
  </w:style>
  <w:style w:styleId="Title" w:type="paragraph">
    <w:name w:val="Title"/>
    <w:basedOn w:val="Normal"/>
    <w:next w:val="Normal"/>
    <w:link w:val="TitleChar"/>
    <w:uiPriority w:val="10"/>
    <w:qFormat/>
    <w:rsid w:val="00933E27"/>
    <w:pPr>
      <w:pBdr>
        <w:bottom w:color="50B4C8" w:space="4" w:sz="8" w:themeColor="accent1" w:val="single"/>
      </w:pBdr>
      <w:spacing w:after="300" w:line="240" w:lineRule="auto"/>
      <w:contextualSpacing/>
    </w:pPr>
    <w:rPr>
      <w:rFonts w:asciiTheme="majorHAnsi" w:cstheme="majorBidi" w:eastAsiaTheme="majorEastAsia" w:hAnsiTheme="majorHAnsi"/>
      <w:color w:themeColor="text2" w:themeShade="BF" w:val="102326"/>
      <w:spacing w:val="5"/>
      <w:sz w:val="52"/>
      <w:szCs w:val="52"/>
    </w:rPr>
  </w:style>
  <w:style w:styleId="Subtitle" w:type="paragraph">
    <w:name w:val="Subtitle"/>
    <w:basedOn w:val="Normal"/>
    <w:next w:val="Normal"/>
    <w:link w:val="SubtitleChar"/>
    <w:uiPriority w:val="11"/>
    <w:qFormat/>
    <w:rsid w:val="00933E27"/>
    <w:pPr>
      <w:numPr>
        <w:ilvl w:val="1"/>
      </w:numPr>
    </w:pPr>
    <w:rPr>
      <w:rFonts w:asciiTheme="majorHAnsi" w:cstheme="majorBidi" w:eastAsiaTheme="majorEastAsia" w:hAnsiTheme="majorHAnsi"/>
      <w:i/>
      <w:iCs/>
      <w:color w:themeColor="accent1" w:val="50B4C8"/>
      <w:spacing w:val="15"/>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933E27"/>
    <w:pPr>
      <w:spacing w:line="240" w:lineRule="auto"/>
    </w:pPr>
    <w:rPr>
      <w:b/>
      <w:bCs/>
      <w:color w:themeColor="accent1" w:val="50B4C8"/>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val="50B4C8"/>
      <w:sz w:val="18"/>
      <w:szCs w:val="18"/>
    </w:rPr>
  </w:style>
  <w:style w:customStyle="1" w:styleId="VerbatimChar" w:type="character">
    <w:name w:val="Verbatim Char"/>
    <w:basedOn w:val="CaptionChar"/>
    <w:rPr>
      <w:rFonts w:ascii="Consolas" w:hAnsi="Consolas"/>
      <w:b/>
      <w:bCs/>
      <w:color w:themeColor="accent1" w:val="50B4C8"/>
      <w:sz w:val="22"/>
      <w:szCs w:val="18"/>
    </w:rPr>
  </w:style>
  <w:style w:customStyle="1" w:styleId="SectionNumber" w:type="character">
    <w:name w:val="Section Number"/>
    <w:basedOn w:val="CaptionChar"/>
    <w:rPr>
      <w:b/>
      <w:bCs/>
      <w:color w:themeColor="accent1" w:val="50B4C8"/>
      <w:sz w:val="18"/>
      <w:szCs w:val="18"/>
    </w:rPr>
  </w:style>
  <w:style w:styleId="FootnoteReference" w:type="character">
    <w:name w:val="footnote reference"/>
    <w:basedOn w:val="CaptionChar"/>
    <w:rPr>
      <w:b/>
      <w:bCs/>
      <w:color w:themeColor="accent1" w:val="50B4C8"/>
      <w:sz w:val="18"/>
      <w:szCs w:val="18"/>
      <w:vertAlign w:val="superscript"/>
    </w:rPr>
  </w:style>
  <w:style w:styleId="Hyperlink" w:type="character">
    <w:name w:val="Hyperlink"/>
    <w:basedOn w:val="CaptionChar"/>
    <w:rPr>
      <w:b/>
      <w:bCs/>
      <w:color w:themeColor="accent1" w:val="50B4C8"/>
      <w:sz w:val="18"/>
      <w:szCs w:val="18"/>
    </w:rPr>
  </w:style>
  <w:style w:styleId="TOCHeading" w:type="paragraph">
    <w:name w:val="TOC Heading"/>
    <w:basedOn w:val="Heading1"/>
    <w:next w:val="Normal"/>
    <w:uiPriority w:val="39"/>
    <w:unhideWhenUsed/>
    <w:qFormat/>
    <w:rsid w:val="00933E27"/>
    <w:pPr>
      <w:outlineLvl w:val="9"/>
    </w:pPr>
  </w:style>
  <w:style w:customStyle="1" w:styleId="Heading1Char" w:type="character">
    <w:name w:val="Heading 1 Char"/>
    <w:basedOn w:val="DefaultParagraphFont"/>
    <w:link w:val="Heading1"/>
    <w:uiPriority w:val="9"/>
    <w:rsid w:val="00933E27"/>
    <w:rPr>
      <w:rFonts w:asciiTheme="majorHAnsi" w:cstheme="majorBidi" w:eastAsiaTheme="majorEastAsia" w:hAnsiTheme="majorHAnsi"/>
      <w:b/>
      <w:bCs/>
      <w:color w:themeColor="accent1" w:themeShade="BF" w:val="328D9F"/>
      <w:sz w:val="28"/>
      <w:szCs w:val="28"/>
    </w:rPr>
  </w:style>
  <w:style w:customStyle="1" w:styleId="Heading2Char" w:type="character">
    <w:name w:val="Heading 2 Char"/>
    <w:basedOn w:val="DefaultParagraphFont"/>
    <w:link w:val="Heading2"/>
    <w:uiPriority w:val="9"/>
    <w:rsid w:val="00933E27"/>
    <w:rPr>
      <w:rFonts w:asciiTheme="majorHAnsi" w:cstheme="majorBidi" w:eastAsiaTheme="majorEastAsia" w:hAnsiTheme="majorHAnsi"/>
      <w:b/>
      <w:bCs/>
      <w:color w:themeColor="accent1" w:val="50B4C8"/>
      <w:sz w:val="26"/>
      <w:szCs w:val="26"/>
    </w:rPr>
  </w:style>
  <w:style w:customStyle="1" w:styleId="Heading3Char" w:type="character">
    <w:name w:val="Heading 3 Char"/>
    <w:basedOn w:val="DefaultParagraphFont"/>
    <w:link w:val="Heading3"/>
    <w:uiPriority w:val="9"/>
    <w:rsid w:val="00933E27"/>
    <w:rPr>
      <w:rFonts w:asciiTheme="majorHAnsi" w:cstheme="majorBidi" w:eastAsiaTheme="majorEastAsia" w:hAnsiTheme="majorHAnsi"/>
      <w:b/>
      <w:bCs/>
      <w:color w:themeColor="accent1" w:val="50B4C8"/>
    </w:rPr>
  </w:style>
  <w:style w:customStyle="1" w:styleId="Heading4Char" w:type="character">
    <w:name w:val="Heading 4 Char"/>
    <w:basedOn w:val="DefaultParagraphFont"/>
    <w:link w:val="Heading4"/>
    <w:uiPriority w:val="9"/>
    <w:rsid w:val="00933E27"/>
    <w:rPr>
      <w:rFonts w:asciiTheme="majorHAnsi" w:cstheme="majorBidi" w:eastAsiaTheme="majorEastAsia" w:hAnsiTheme="majorHAnsi"/>
      <w:b/>
      <w:bCs/>
      <w:i/>
      <w:iCs/>
      <w:color w:themeColor="accent1" w:val="50B4C8"/>
    </w:rPr>
  </w:style>
  <w:style w:customStyle="1" w:styleId="Heading5Char" w:type="character">
    <w:name w:val="Heading 5 Char"/>
    <w:basedOn w:val="DefaultParagraphFont"/>
    <w:link w:val="Heading5"/>
    <w:uiPriority w:val="9"/>
    <w:rsid w:val="00933E27"/>
    <w:rPr>
      <w:rFonts w:asciiTheme="majorHAnsi" w:cstheme="majorBidi" w:eastAsiaTheme="majorEastAsia" w:hAnsiTheme="majorHAnsi"/>
      <w:color w:themeColor="accent1" w:themeShade="7F" w:val="215D6A"/>
    </w:rPr>
  </w:style>
  <w:style w:customStyle="1" w:styleId="Heading6Char" w:type="character">
    <w:name w:val="Heading 6 Char"/>
    <w:basedOn w:val="DefaultParagraphFont"/>
    <w:link w:val="Heading6"/>
    <w:uiPriority w:val="9"/>
    <w:rsid w:val="00933E27"/>
    <w:rPr>
      <w:rFonts w:asciiTheme="majorHAnsi" w:cstheme="majorBidi" w:eastAsiaTheme="majorEastAsia" w:hAnsiTheme="majorHAnsi"/>
      <w:i/>
      <w:iCs/>
      <w:color w:themeColor="accent1" w:themeShade="7F" w:val="215D6A"/>
    </w:rPr>
  </w:style>
  <w:style w:customStyle="1" w:styleId="Heading7Char" w:type="character">
    <w:name w:val="Heading 7 Char"/>
    <w:basedOn w:val="DefaultParagraphFont"/>
    <w:link w:val="Heading7"/>
    <w:uiPriority w:val="9"/>
    <w:rsid w:val="00933E2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933E27"/>
    <w:rPr>
      <w:rFonts w:asciiTheme="majorHAnsi" w:cstheme="majorBidi" w:eastAsiaTheme="majorEastAsia" w:hAnsiTheme="majorHAnsi"/>
      <w:color w:themeColor="accent1" w:val="50B4C8"/>
      <w:sz w:val="20"/>
      <w:szCs w:val="20"/>
    </w:rPr>
  </w:style>
  <w:style w:customStyle="1" w:styleId="Heading9Char" w:type="character">
    <w:name w:val="Heading 9 Char"/>
    <w:basedOn w:val="DefaultParagraphFont"/>
    <w:link w:val="Heading9"/>
    <w:uiPriority w:val="9"/>
    <w:rsid w:val="00933E27"/>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933E27"/>
    <w:rPr>
      <w:rFonts w:asciiTheme="majorHAnsi" w:cstheme="majorBidi" w:eastAsiaTheme="majorEastAsia" w:hAnsiTheme="majorHAnsi"/>
      <w:color w:themeColor="text2" w:themeShade="BF" w:val="102326"/>
      <w:spacing w:val="5"/>
      <w:sz w:val="52"/>
      <w:szCs w:val="52"/>
    </w:rPr>
  </w:style>
  <w:style w:customStyle="1" w:styleId="SubtitleChar" w:type="character">
    <w:name w:val="Subtitle Char"/>
    <w:basedOn w:val="DefaultParagraphFont"/>
    <w:link w:val="Subtitle"/>
    <w:uiPriority w:val="11"/>
    <w:rsid w:val="00933E27"/>
    <w:rPr>
      <w:rFonts w:asciiTheme="majorHAnsi" w:cstheme="majorBidi" w:eastAsiaTheme="majorEastAsia" w:hAnsiTheme="majorHAnsi"/>
      <w:i/>
      <w:iCs/>
      <w:color w:themeColor="accent1" w:val="50B4C8"/>
      <w:spacing w:val="15"/>
      <w:sz w:val="24"/>
      <w:szCs w:val="24"/>
    </w:rPr>
  </w:style>
  <w:style w:styleId="Strong" w:type="character">
    <w:name w:val="Strong"/>
    <w:basedOn w:val="DefaultParagraphFont"/>
    <w:uiPriority w:val="22"/>
    <w:qFormat/>
    <w:rsid w:val="00933E27"/>
    <w:rPr>
      <w:b/>
      <w:bCs/>
    </w:rPr>
  </w:style>
  <w:style w:styleId="Emphasis" w:type="character">
    <w:name w:val="Emphasis"/>
    <w:basedOn w:val="DefaultParagraphFont"/>
    <w:uiPriority w:val="20"/>
    <w:qFormat/>
    <w:rsid w:val="00933E27"/>
    <w:rPr>
      <w:i/>
      <w:iCs/>
    </w:rPr>
  </w:style>
  <w:style w:styleId="NoSpacing" w:type="paragraph">
    <w:name w:val="No Spacing"/>
    <w:uiPriority w:val="1"/>
    <w:qFormat/>
    <w:rsid w:val="00933E27"/>
    <w:pPr>
      <w:spacing w:after="0" w:line="240" w:lineRule="auto"/>
    </w:pPr>
  </w:style>
  <w:style w:styleId="Quote" w:type="paragraph">
    <w:name w:val="Quote"/>
    <w:basedOn w:val="Normal"/>
    <w:next w:val="Normal"/>
    <w:link w:val="QuoteChar"/>
    <w:uiPriority w:val="29"/>
    <w:qFormat/>
    <w:rsid w:val="00933E27"/>
    <w:rPr>
      <w:i/>
      <w:iCs/>
      <w:color w:themeColor="text1" w:val="000000"/>
    </w:rPr>
  </w:style>
  <w:style w:customStyle="1" w:styleId="QuoteChar" w:type="character">
    <w:name w:val="Quote Char"/>
    <w:basedOn w:val="DefaultParagraphFont"/>
    <w:link w:val="Quote"/>
    <w:uiPriority w:val="29"/>
    <w:rsid w:val="00933E27"/>
    <w:rPr>
      <w:i/>
      <w:iCs/>
      <w:color w:themeColor="text1" w:val="000000"/>
    </w:rPr>
  </w:style>
  <w:style w:styleId="IntenseQuote" w:type="paragraph">
    <w:name w:val="Intense Quote"/>
    <w:basedOn w:val="Normal"/>
    <w:next w:val="Normal"/>
    <w:link w:val="IntenseQuoteChar"/>
    <w:uiPriority w:val="30"/>
    <w:qFormat/>
    <w:rsid w:val="00933E27"/>
    <w:pPr>
      <w:pBdr>
        <w:bottom w:color="50B4C8" w:space="4" w:sz="4" w:themeColor="accent1" w:val="single"/>
      </w:pBdr>
      <w:spacing w:after="280" w:before="200"/>
      <w:ind w:left="936" w:right="936"/>
    </w:pPr>
    <w:rPr>
      <w:b/>
      <w:bCs/>
      <w:i/>
      <w:iCs/>
      <w:color w:themeColor="accent1" w:val="50B4C8"/>
    </w:rPr>
  </w:style>
  <w:style w:customStyle="1" w:styleId="IntenseQuoteChar" w:type="character">
    <w:name w:val="Intense Quote Char"/>
    <w:basedOn w:val="DefaultParagraphFont"/>
    <w:link w:val="IntenseQuote"/>
    <w:uiPriority w:val="30"/>
    <w:rsid w:val="00933E27"/>
    <w:rPr>
      <w:b/>
      <w:bCs/>
      <w:i/>
      <w:iCs/>
      <w:color w:themeColor="accent1" w:val="50B4C8"/>
    </w:rPr>
  </w:style>
  <w:style w:styleId="SubtleEmphasis" w:type="character">
    <w:name w:val="Subtle Emphasis"/>
    <w:basedOn w:val="DefaultParagraphFont"/>
    <w:uiPriority w:val="19"/>
    <w:qFormat/>
    <w:rsid w:val="00933E27"/>
    <w:rPr>
      <w:i/>
      <w:iCs/>
      <w:color w:themeColor="text1" w:themeTint="7F" w:val="808080"/>
    </w:rPr>
  </w:style>
  <w:style w:styleId="IntenseEmphasis" w:type="character">
    <w:name w:val="Intense Emphasis"/>
    <w:basedOn w:val="DefaultParagraphFont"/>
    <w:uiPriority w:val="21"/>
    <w:qFormat/>
    <w:rsid w:val="00933E27"/>
    <w:rPr>
      <w:b/>
      <w:bCs/>
      <w:i/>
      <w:iCs/>
      <w:color w:themeColor="accent1" w:val="50B4C8"/>
    </w:rPr>
  </w:style>
  <w:style w:styleId="SubtleReference" w:type="character">
    <w:name w:val="Subtle Reference"/>
    <w:basedOn w:val="DefaultParagraphFont"/>
    <w:uiPriority w:val="31"/>
    <w:qFormat/>
    <w:rsid w:val="00933E27"/>
    <w:rPr>
      <w:smallCaps/>
      <w:color w:themeColor="accent2" w:val="A8B97F"/>
      <w:u w:val="single"/>
    </w:rPr>
  </w:style>
  <w:style w:styleId="IntenseReference" w:type="character">
    <w:name w:val="Intense Reference"/>
    <w:basedOn w:val="DefaultParagraphFont"/>
    <w:uiPriority w:val="32"/>
    <w:qFormat/>
    <w:rsid w:val="00933E27"/>
    <w:rPr>
      <w:b/>
      <w:bCs/>
      <w:smallCaps/>
      <w:color w:themeColor="accent2" w:val="A8B97F"/>
      <w:spacing w:val="5"/>
      <w:u w:val="single"/>
    </w:rPr>
  </w:style>
  <w:style w:styleId="BookTitle" w:type="character">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6" Target="https://hurqalya.ucmerced.edu/node/24" TargetMode="External" /><Relationship Type="http://schemas.openxmlformats.org/officeDocument/2006/relationships/hyperlink" Id="rId1050" Target="https://www.amazon.com/Measures-weights-Islamic-world-translation/dp/B0BB8CMY26" TargetMode="External" /></Relationships>
</file>

<file path=word/_rels/footnotes.xml.rels><?xml version="1.0" encoding="UTF-8"?><Relationships xmlns="http://schemas.openxmlformats.org/package/2006/relationships"><Relationship Type="http://schemas.openxmlformats.org/officeDocument/2006/relationships/hyperlink" Id="rId956" Target="https://hurqalya.ucmerced.edu/node/24" TargetMode="External" /><Relationship Type="http://schemas.openxmlformats.org/officeDocument/2006/relationships/hyperlink" Id="rId1050" Target="https://www.amazon.com/Measures-weights-Islamic-world-translation/dp/B0BB8CMY26" TargetMode="External" /></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dcterms:created xsi:type="dcterms:W3CDTF">2026-03-10T02:50:36Z</dcterms:created>
  <dcterms:modified xsi:type="dcterms:W3CDTF">2026-03-10T02:50:36Z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2026-03-09</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