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0" w:name="sec-welcome"/>
    <w:p>
      <w:pPr>
        <w:pStyle w:val="Heading1"/>
      </w:pPr>
      <w:r>
        <w:t xml:space="preserve">Welcome!</w:t>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p>
        <w:r>
          <w:br w:type="page"/>
        </w:r>
      </w:p>
    </w:p>
    <w:bookmarkEnd w:id="20"/>
    <w:bookmarkStart w:id="30" w:name="sec-the-persian-hidden-words"/>
    <w:p>
      <w:pPr>
        <w:pStyle w:val="Heading1"/>
      </w:pPr>
      <w:r>
        <w:t xml:space="preserve">The Persian Hidden Words</w:t>
      </w:r>
    </w:p>
    <w:bookmarkStart w:id="21" w:name="verses-1-9"/>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21"/>
    <w:bookmarkStart w:id="22" w:name="verses-10-18"/>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22"/>
    <w:bookmarkStart w:id="23" w:name="verses-19-27"/>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23"/>
    <w:bookmarkStart w:id="24" w:name="verses-28-36"/>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24"/>
    <w:bookmarkStart w:id="25" w:name="verses-37-45"/>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25"/>
    <w:bookmarkStart w:id="26" w:name="verses-46-54"/>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26"/>
    <w:bookmarkStart w:id="27" w:name="verses-55-63"/>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27"/>
    <w:bookmarkStart w:id="28"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28"/>
    <w:bookmarkStart w:id="29"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r>
        <w:br w:type="page"/>
      </w:r>
    </w:p>
    <w:bookmarkEnd w:id="29"/>
    <w:bookmarkEnd w:id="30"/>
    <w:bookmarkStart w:id="40" w:name="sec-the-seven-valleys"/>
    <w:p>
      <w:pPr>
        <w:pStyle w:val="Heading1"/>
      </w:pPr>
      <w:r>
        <w:t xml:space="preserve">The Seven Valleys</w:t>
      </w:r>
    </w:p>
    <w:bookmarkStart w:id="31"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31"/>
    <w:bookmarkStart w:id="32"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32"/>
    <w:bookmarkStart w:id="33"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33"/>
    <w:bookmarkStart w:id="34"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34"/>
    <w:bookmarkStart w:id="35"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35"/>
    <w:bookmarkStart w:id="36"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36"/>
    <w:bookmarkStart w:id="37"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37"/>
    <w:bookmarkStart w:id="38"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38"/>
    <w:bookmarkStart w:id="39"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39"/>
    <w:bookmarkEnd w:id="40"/>
    <w:bookmarkStart w:id="63" w:name="sec-kitab-i-iqan"/>
    <w:p>
      <w:pPr>
        <w:pStyle w:val="Heading1"/>
      </w:pPr>
      <w:r>
        <w:t xml:space="preserve">Kitab-i-Iqan (The Book of Certitude)</w:t>
      </w:r>
    </w:p>
    <w:bookmarkStart w:id="61"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41"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41"/>
    <w:bookmarkStart w:id="42"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42"/>
    <w:bookmarkStart w:id="43"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43"/>
    <w:bookmarkStart w:id="48" w:name="sec-interpretation-of-the-signs"/>
    <w:p>
      <w:pPr>
        <w:pStyle w:val="Heading3"/>
      </w:pPr>
      <w:r>
        <w:t xml:space="preserve">Interpretation of the Signs</w:t>
      </w:r>
    </w:p>
    <w:bookmarkStart w:id="44"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44"/>
    <w:bookmarkStart w:id="45"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45"/>
    <w:bookmarkStart w:id="46"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46"/>
    <w:bookmarkStart w:id="47"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47"/>
    <w:bookmarkEnd w:id="48"/>
    <w:bookmarkStart w:id="53"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49"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49"/>
    <w:bookmarkStart w:id="50"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50"/>
    <w:bookmarkStart w:id="51"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51"/>
    <w:bookmarkStart w:id="52"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52"/>
    <w:bookmarkEnd w:id="53"/>
    <w:bookmarkStart w:id="59"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54"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54"/>
    <w:bookmarkStart w:id="58"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55"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55"/>
    <w:bookmarkStart w:id="56"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56"/>
    <w:bookmarkStart w:id="57"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57"/>
    <w:bookmarkEnd w:id="58"/>
    <w:bookmarkEnd w:id="59"/>
    <w:bookmarkStart w:id="60"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60"/>
    <w:bookmarkEnd w:id="61"/>
    <w:bookmarkStart w:id="62" w:name="part-two"/>
    <w:p>
      <w:pPr>
        <w:pStyle w:val="Heading2"/>
      </w:pPr>
      <w:r>
        <w:t xml:space="preserve">Part Two</w:t>
      </w:r>
    </w:p>
    <w:p>
      <w:pPr>
        <w:pStyle w:val="FirstParagraph"/>
      </w:pPr>
      <w:r>
        <w:t xml:space="preserve">102</w:t>
      </w:r>
    </w:p>
    <w:p>
      <w:r>
        <w:br w:type="page"/>
      </w:r>
    </w:p>
    <w:bookmarkEnd w:id="62"/>
    <w:bookmarkEnd w:id="63"/>
    <w:bookmarkStart w:id="85" w:name="sec-the-kitab-i-badi"/>
    <w:p>
      <w:pPr>
        <w:pStyle w:val="Heading1"/>
      </w:pPr>
      <w:r>
        <w:t xml:space="preserve">The Kitab-i-Badi (The Book to Badi)</w:t>
      </w:r>
    </w:p>
    <w:bookmarkStart w:id="64"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64"/>
    <w:bookmarkStart w:id="65"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65"/>
    <w:bookmarkStart w:id="67"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66"/>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67"/>
    <w:bookmarkStart w:id="68"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68"/>
    <w:bookmarkStart w:id="69"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69"/>
    <w:bookmarkStart w:id="70"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70"/>
    <w:bookmarkStart w:id="71"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71"/>
    <w:bookmarkStart w:id="72"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72"/>
    <w:bookmarkStart w:id="73"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73"/>
    <w:bookmarkStart w:id="74"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74"/>
    <w:bookmarkStart w:id="75"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75"/>
    <w:bookmarkStart w:id="76"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76"/>
    <w:bookmarkStart w:id="77"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77"/>
    <w:bookmarkStart w:id="78"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78"/>
    <w:bookmarkStart w:id="79"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79"/>
    <w:bookmarkStart w:id="80"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80"/>
    <w:bookmarkStart w:id="81"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81"/>
    <w:bookmarkStart w:id="82"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82"/>
    <w:bookmarkStart w:id="83"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83"/>
    <w:bookmarkStart w:id="84"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84"/>
    <w:bookmarkEnd w:id="85"/>
    <w:bookmarkStart w:id="89" w:name="sec-tablet-of-the-branch"/>
    <w:p>
      <w:pPr>
        <w:pStyle w:val="Heading1"/>
      </w:pPr>
      <w:r>
        <w:t xml:space="preserve">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86"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86"/>
    <w:bookmarkStart w:id="87"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87"/>
    <w:bookmarkStart w:id="88"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pPr>
        <w:pStyle w:val="BodyText"/>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88"/>
    <w:bookmarkEnd w:id="89"/>
    <w:bookmarkStart w:id="91" w:name="sec-lawh-i-bisarat"/>
    <w:p>
      <w:pPr>
        <w:pStyle w:val="Heading1"/>
      </w:pPr>
      <w:r>
        <w:t xml:space="preserve">Lawh-i-Bisarat (The Tablet of Glad-Tidings)</w:t>
      </w:r>
    </w:p>
    <w:bookmarkStart w:id="90" w:name="sec-the-thirteenth-good-news"/>
    <w:p>
      <w:pPr>
        <w:pStyle w:val="Heading2"/>
      </w:pPr>
      <w:r>
        <w:t xml:space="preserve">The Thirteenth Good News</w:t>
      </w:r>
    </w:p>
    <w:p>
      <w:pPr>
        <w:pStyle w:val="FirstParagraph"/>
      </w:pPr>
      <w:r>
        <w:t xml:space="preserve">23 Indeed, the affairs of the community are entrusted to the men of the Divine House of Justice. They are the trustees of God among His servants and the sources of command in His countries.</w:t>
      </w:r>
    </w:p>
    <w:p>
      <w:pPr>
        <w:pStyle w:val="BodyText"/>
      </w:pPr>
      <w:r>
        <w:t xml:space="preserve">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pPr>
        <w:pStyle w:val="BodyText"/>
      </w:pPr>
      <w:r>
        <w:t xml:space="preserve">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r>
        <w:br w:type="page"/>
      </w:r>
    </w:p>
    <w:bookmarkEnd w:id="90"/>
    <w:bookmarkEnd w:id="91"/>
    <w:bookmarkStart w:id="92" w:name="sec-kitab-i-ahd"/>
    <w:p>
      <w:pPr>
        <w:pStyle w:val="Heading1"/>
      </w:pPr>
      <w: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p>
      <w:pPr>
        <w:pStyle w:val="BodyText"/>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p>
      <w:pPr>
        <w:pStyle w:val="BodyText"/>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pPr>
        <w:pStyle w:val="BodyText"/>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p>
      <w:pPr>
        <w:pStyle w:val="BodyText"/>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pPr>
        <w:pStyle w:val="BodyText"/>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p>
      <w:pPr>
        <w:pStyle w:val="BodyText"/>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92"/>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2023-06-11T01:53:15Z</dcterms:created>
  <dcterms:modified xsi:type="dcterms:W3CDTF">2023-06-11T01:53:15Z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