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NovaTech Solutions</w:t>
      </w:r>
    </w:p>
    <w:p>
      <w:pPr>
        <w:pStyle w:val="Heading1"/>
        <w:spacing w:after="400"/>
        <w:jc w:val="center"/>
      </w:pPr>
      <w:r>
        <w:t xml:space="preserve">AI Data Governance and Privacy Policy</w:t>
      </w:r>
    </w:p>
    <w:p>
      <w:pPr>
        <w:spacing w:after="150"/>
      </w:pPr>
      <w:r>
        <w:t xml:space="preserve">Document Reference: NT-AIGOV-2026-07  |  Effective Date: 1 March 2026  |  Version: 3.2  |  Owner: Data Governance Office</w:t>
      </w:r>
    </w:p>
    <w:p>
      <w:pPr>
        <w:pStyle w:val="Heading1"/>
        <w:spacing w:after="150" w:before="300"/>
      </w:pPr>
      <w:r>
        <w:t xml:space="preserve">1. Purpose and Scope</w:t>
      </w:r>
    </w:p>
    <w:p>
      <w:pPr>
        <w:spacing w:after="150"/>
      </w:pPr>
      <w:r>
        <w:t xml:space="preserve">This policy governs how NovaTech Solutions collects, stores, processes, and disposes of data used in artificial intelligence systems, including data used to train, fine-tune, or evaluate machine learning models. It applies to all employees, contractors, and third-party vendors who interact with NovaTech's AI systems or the datasets that feed them.</w:t>
      </w:r>
    </w:p>
    <w:p>
      <w:pPr>
        <w:spacing w:after="150"/>
      </w:pPr>
      <w:r>
        <w:t xml:space="preserve">The policy covers three categories of AI systems used across the company: internal productivity tools, customer-facing chatbots, and the recommendation engine used by the Marketing division. Any new AI system deployed after 1 March 2026 must be registered with the Data Governance Office within 10 business days of going live.</w:t>
      </w:r>
    </w:p>
    <w:p>
      <w:pPr>
        <w:pStyle w:val="Heading1"/>
        <w:spacing w:after="150" w:before="300"/>
      </w:pPr>
      <w:r>
        <w:t xml:space="preserve">2. Data Classification</w:t>
      </w:r>
    </w:p>
    <w:p>
      <w:pPr>
        <w:spacing w:after="150"/>
      </w:pPr>
      <w:r>
        <w:t xml:space="preserve">All data used in AI workflows must be classified into one of four tiers before it can be used for training or evaluation purposes.</w:t>
      </w:r>
    </w:p>
    <w:p>
      <w:pPr>
        <w:pStyle w:val="Heading2"/>
        <w:spacing w:after="100" w:before="200"/>
      </w:pPr>
      <w:r>
        <w:t xml:space="preserve">2.1 Tier 1 - Public</w:t>
      </w:r>
    </w:p>
    <w:p>
      <w:pPr>
        <w:spacing w:after="150"/>
      </w:pPr>
      <w:r>
        <w:t xml:space="preserve">Data that is already publicly available, such as published marketing materials or open-source documentation. Tier 1 data requires no special handling and may be used freely in model training.</w:t>
      </w:r>
    </w:p>
    <w:p>
      <w:pPr>
        <w:pStyle w:val="Heading2"/>
        <w:spacing w:after="100" w:before="200"/>
      </w:pPr>
      <w:r>
        <w:t xml:space="preserve">2.2 Tier 2 - Internal</w:t>
      </w:r>
    </w:p>
    <w:p>
      <w:pPr>
        <w:spacing w:after="150"/>
      </w:pPr>
      <w:r>
        <w:t xml:space="preserve">Non-sensitive internal data such as internal wikis, style guides, and anonymized product usage statistics. Tier 2 data may be used for training only after a Data Governance reviewer signs off, which typically takes 3 to 5 business days.</w:t>
      </w:r>
    </w:p>
    <w:p>
      <w:pPr>
        <w:pStyle w:val="Heading2"/>
        <w:spacing w:after="100" w:before="200"/>
      </w:pPr>
      <w:r>
        <w:t xml:space="preserve">2.3 Tier 3 - Confidential</w:t>
      </w:r>
    </w:p>
    <w:p>
      <w:pPr>
        <w:spacing w:after="150"/>
      </w:pPr>
      <w:r>
        <w:t xml:space="preserve">Customer account data, financial records, and employee HR records fall under Tier 3. Confidential data may never be used to train a general-purpose model. It may only be used in a strictly isolated fine-tuning environment approved by the Chief Information Security Officer (CISO).</w:t>
      </w:r>
    </w:p>
    <w:p>
      <w:pPr>
        <w:pStyle w:val="Heading2"/>
        <w:spacing w:after="100" w:before="200"/>
      </w:pPr>
      <w:r>
        <w:t xml:space="preserve">2.4 Tier 4 - Restricted</w:t>
      </w:r>
    </w:p>
    <w:p>
      <w:pPr>
        <w:spacing w:after="150"/>
      </w:pPr>
      <w:r>
        <w:t xml:space="preserve">Biometric data, health records, and data belonging to minors are classified as Restricted. Restricted data must never be used for AI training under any circumstances, and any accidental inclusion must be reported as a Severity 1 incident within 24 hours.</w:t>
      </w:r>
    </w:p>
    <w:p>
      <w:pPr>
        <w:pStyle w:val="Heading1"/>
        <w:spacing w:after="150" w:before="300"/>
      </w:pPr>
      <w:r>
        <w:t xml:space="preserve">3. Data Retention Periods</w:t>
      </w:r>
    </w:p>
    <w:p>
      <w:pPr>
        <w:spacing w:after="150"/>
      </w:pPr>
      <w:r>
        <w:t xml:space="preserve">Retention periods are set according to data classification and are enforced automatically by the Data Platform team's deletion pipelines.</w:t>
      </w:r>
    </w:p>
    <w:p>
      <w:pPr>
        <w:spacing w:after="150"/>
      </w:pPr>
      <w:r>
        <w:t xml:space="preserve">Tier 1 (Public) data may be retained indefinitely. Tier 2 (Internal) data used in training pipelines is retained for 18 months from the date of last use, after which it is archived to cold storage. Tier 3 (Confidential) data used in an approved fine-tuning environment is retained for a maximum of 90 days and must be deleted immediately after the fine-tuning job completes. Raw customer support transcripts, regardless of tier, are retained for no longer than 12 months unless a legal hold has been placed on them.</w:t>
      </w:r>
    </w:p>
    <w:p>
      <w:pPr>
        <w:spacing w:after="150"/>
      </w:pPr>
      <w:r>
        <w:t xml:space="preserve">Model training logs and evaluation datasets generated internally, such as golden datasets used for RAG or generator evaluation, are retained for 24 months to support audit and reproducibility requirements.</w:t>
      </w:r>
    </w:p>
    <w:p>
      <w:pPr>
        <w:pStyle w:val="Heading1"/>
        <w:spacing w:after="150" w:before="300"/>
      </w:pPr>
      <w:r>
        <w:t xml:space="preserve">4. AI Model Training Guidelines</w:t>
      </w:r>
    </w:p>
    <w:p>
      <w:pPr>
        <w:spacing w:after="150"/>
      </w:pPr>
      <w:r>
        <w:t xml:space="preserve">Before any model training run begins, the requesting team must submit a Model Training Request Form to the Data Governance Office. The form must specify the data tiers involved, the intended use case, and the expected retention period.</w:t>
      </w:r>
    </w:p>
    <w:p>
      <w:pPr>
        <w:spacing w:after="150"/>
      </w:pPr>
      <w:r>
        <w:t xml:space="preserve">All embeddings generated from Tier 3 or Tier 4 source data must be stored in an encrypted vector database with access restricted to the approving team. Embeddings derived from Tier 1 or Tier 2 data may be stored in the shared internal vector store, currently hosted on the Data Platform's ChromaDB cluster.</w:t>
      </w:r>
    </w:p>
    <w:p>
      <w:pPr>
        <w:spacing w:after="150"/>
      </w:pPr>
      <w:r>
        <w:t xml:space="preserve">Retrieval-Augmented Generation (RAG) systems built on internal documentation must undergo a retriever evaluation before being released to more than 50 internal users. At minimum, the evaluation must report Contextual Precision and Contextual Recall scores, and both scores must meet or exceed 0.75 on the approved golden dataset before release.</w:t>
      </w:r>
    </w:p>
    <w:p>
      <w:pPr>
        <w:pStyle w:val="Heading1"/>
        <w:spacing w:after="150" w:before="300"/>
      </w:pPr>
      <w:r>
        <w:t xml:space="preserve">5. Third-Party Vendor Requirements</w:t>
      </w:r>
    </w:p>
    <w:p>
      <w:pPr>
        <w:spacing w:after="150"/>
      </w:pPr>
      <w:r>
        <w:t xml:space="preserve">Any third-party vendor providing AI infrastructure, embedding models, or hosted LLM inference must sign the NovaTech Data Processing Addendum (DPA) before receiving access to any data above Tier 1. Vendors must also complete an annual security assessment, coordinated by the Vendor Risk team.</w:t>
      </w:r>
    </w:p>
    <w:p>
      <w:pPr>
        <w:spacing w:after="150"/>
      </w:pPr>
      <w:r>
        <w:t xml:space="preserve">As of this version of the policy, NovaTech's approved AI vendor list includes three companies: Anthropic for hosted LLM inference, a regional cloud provider for compute infrastructure, and a specialized annotation vendor for labeling Tier 2 data. Any additional vendor must be approved by both the CISO and the Data Governance Office before onboarding.</w:t>
      </w:r>
    </w:p>
    <w:p>
      <w:pPr>
        <w:pStyle w:val="Heading1"/>
        <w:spacing w:after="150" w:before="300"/>
      </w:pPr>
      <w:r>
        <w:t xml:space="preserve">6. Incident Response Procedure</w:t>
      </w:r>
    </w:p>
    <w:p>
      <w:pPr>
        <w:spacing w:after="150"/>
      </w:pPr>
      <w:r>
        <w:t xml:space="preserve">If Restricted or Confidential data is found in a training set, a model output, or a vector store without proper authorization, the discovering employee must notify the Security Operations Center (SOC) within 1 hour of discovery.</w:t>
      </w:r>
    </w:p>
    <w:p>
      <w:pPr>
        <w:spacing w:after="150"/>
      </w:pPr>
      <w:r>
        <w:t xml:space="preserve">The SOC will classify the incident by severity. Severity 1 incidents, involving Restricted data, require the CISO to be notified within 4 hours and a full incident report to be filed within 5 business days. Severity 2 incidents, involving Confidential data used outside an approved environment, require a report within 10 business days. Severity 3 incidents cover all other policy violations and are reviewed at the next monthly governance meeting.</w:t>
      </w:r>
    </w:p>
    <w:p>
      <w:pPr>
        <w:pStyle w:val="Heading1"/>
        <w:spacing w:after="150" w:before="300"/>
      </w:pPr>
      <w:r>
        <w:t xml:space="preserve">7. Roles and Responsibilities</w:t>
      </w:r>
    </w:p>
    <w:p>
      <w:pPr>
        <w:spacing w:after="150"/>
      </w:pPr>
      <w:r>
        <w:t xml:space="preserve">The Data Governance Office owns this policy and reviews it annually. The CISO approves all Tier 3 and Tier 4 data use. The Data Platform team implements retention and deletion automation. Individual team leads are responsible for ensuring their team's AI projects are registered and that training requests are submitted before any model training begins.</w:t>
      </w:r>
    </w:p>
    <w:p>
      <w:pPr>
        <w:pStyle w:val="Heading1"/>
        <w:spacing w:after="150" w:before="300"/>
      </w:pPr>
      <w:r>
        <w:t xml:space="preserve">8. Policy Review and Enforcement</w:t>
      </w:r>
    </w:p>
    <w:p>
      <w:pPr>
        <w:spacing w:after="150"/>
      </w:pPr>
      <w:r>
        <w:t xml:space="preserve">This policy is reviewed annually by the Data Governance Office, with the next scheduled review in March 2027. Violations of this policy may result in disciplinary action up to and including termination, and in the case of vendors, termination of contract. Employees may report suspected violations anonymously through the Ethics Hotline.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2026-09-23T19:57:09.749Z</dcterms:created>
  <dcterms:modified xsi:type="dcterms:W3CDTF">2026-09-23T19:57:09.758Z</dcterms:modified>
</cp:coreProperties>
</file>

<file path=docProps/custom.xml><?xml version="1.0" encoding="utf-8"?>
<Properties xmlns="http://schemas.openxmlformats.org/officeDocument/2006/custom-properties" xmlns:vt="http://schemas.openxmlformats.org/officeDocument/2006/docPropsVTypes"/>
</file>