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05:27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[OK] Hukuki Zorunluluk: CIF şartı gereği Resmi Sigorta Poliçesi dosyalar arasında saptandı ve incelendi (UCP 600 Art 28).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2450.0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Sigorta poliçesi saptandı. Fatura değerinin minimum %110'unu kapsadığı doğrulandı.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