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2"/>
        </w:rPr>
        <w:t>📋 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09.06.2026 08:15 | Altyapı Sürümü: UCP 600 Hukuk Motoru v3.0</w:t>
      </w:r>
    </w:p>
    <w:p>
      <w:r>
        <w:t>------------------------------------------------------------</w:t>
      </w:r>
    </w:p>
    <w:p>
      <w:r>
        <w:rPr>
          <w:rFonts w:ascii="Arial" w:hAnsi="Arial"/>
          <w:b/>
          <w:color w:val="2B6CB0"/>
          <w:sz w:val="26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6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6"/>
        </w:rPr>
        <w:t>3. Incoterms ve Sigorta Hukuku (ICC 2020)</w:t>
      </w:r>
    </w:p>
    <w:p>
      <w:pPr>
        <w:pStyle w:val="ListBullet"/>
      </w:pPr>
      <w:r>
        <w:t>Incoterms Standardı: CIF (ICC 2020 Rules)</w:t>
      </w:r>
    </w:p>
    <w:p>
      <w:pPr>
        <w:pStyle w:val="ListBullet"/>
      </w:pPr>
      <w:r>
        <w:t>[HUKUKİ REZERV RİSKİ] Teslim şekli CIF olmasına rağmen Sigorta Poliçesi bulunamadı!</w:t>
      </w:r>
    </w:p>
    <w:p>
      <w:r>
        <w:rPr>
          <w:rFonts w:ascii="Arial" w:hAnsi="Arial"/>
          <w:b/>
          <w:color w:val="2B6CB0"/>
          <w:sz w:val="26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Fatura: 1470.0 KG | Konşimento: 2400.0 KG</w:t>
            </w:r>
          </w:p>
        </w:tc>
        <w:tc>
          <w:tcPr>
            <w:tcW w:type="dxa" w:w="3120"/>
          </w:tcPr>
          <w:p>
            <w:r>
              <w:t>REZERV RİSKİ - UYUMSUZ SAYISAL VERİ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Fatura, Küşat (45A)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Sigorta Bedeli ≥ Fatura × %110 (Art 28f-ii)</w:t>
            </w:r>
          </w:p>
        </w:tc>
        <w:tc>
          <w:tcPr>
            <w:tcW w:type="dxa" w:w="3120"/>
          </w:tcPr>
          <w:p>
            <w:r>
              <w:t>CIF teslimlerde sigorta poliçesi zorunludur ancak dosyalar arasında bulunamadı.</w:t>
            </w:r>
          </w:p>
        </w:tc>
        <w:tc>
          <w:tcPr>
            <w:tcW w:type="dxa" w:w="3120"/>
          </w:tcPr>
          <w:p>
            <w:r>
              <w:t>REZERV RİSKİ - SİGORTA BELGESİ EKSİK</w:t>
            </w:r>
          </w:p>
        </w:tc>
      </w:tr>
    </w:tbl>
    <w:p>
      <w:r>
        <w:rPr>
          <w:rFonts w:ascii="Arial" w:hAnsi="Arial"/>
          <w:b/>
          <w:color w:val="2B6CB0"/>
          <w:sz w:val="26"/>
        </w:rPr>
        <w:t>5. Konşimento ve Taşıma Hukuku Parametreleri</w:t>
      </w:r>
    </w:p>
    <w:p>
      <w:pPr>
        <w:pStyle w:val="ListBullet"/>
      </w:pPr>
      <w:r>
        <w:t>[OK] Konşimento üzerinde yasal 'Shipped on Board' şerhi saptandı (Art 20a-ii uyumlu).</w:t>
      </w:r>
    </w:p>
    <w:p>
      <w:r>
        <w:rPr>
          <w:rFonts w:ascii="Arial" w:hAnsi="Arial"/>
          <w:b/>
          <w:color w:val="2B6CB0"/>
          <w:sz w:val="26"/>
        </w:rPr>
        <w:t>6.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Standart 21 günlük yasal banka ibraz sınırı uygulandı.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Vesaiklerin bankaya eksiksiz ve hatasız ulaştığının teyidi.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DOĞRUDAN GEÇTİ</w:t>
            </w:r>
          </w:p>
        </w:tc>
        <w:tc>
          <w:tcPr>
            <w:tcW w:type="dxa" w:w="2340"/>
          </w:tcPr>
          <w:p>
            <w:r>
              <w:t>Mal tanımının küşat metniyle karakter doğrulaması yapıldı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Shipped on Board şerhi ve ciro silsilesi hukuki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TESPİT EDİLDİ</w:t>
            </w:r>
          </w:p>
        </w:tc>
        <w:tc>
          <w:tcPr>
            <w:tcW w:type="dxa" w:w="2340"/>
          </w:tcPr>
          <w:p>
            <w:r>
              <w:t>Üzerinde hasar veya kusurlu ambalaj şerhi bulunmayan temiz belge kontrolü.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YÜKSEK RİSK</w:t>
            </w:r>
          </w:p>
        </w:tc>
        <w:tc>
          <w:tcPr>
            <w:tcW w:type="dxa" w:w="2340"/>
          </w:tcPr>
          <w:p>
            <w:r>
              <w:t>CIF teslimlerde Sigorta Poliçesi zorunludur! Minimum %110 teminat aranır (UCP 600 Madde 28).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Akreditifte aksi belirtilmedikçe %5 / %10 tolerans limitleri.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