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30"/>
        </w:rPr>
        <w:t>AKREDİTİF GELİŞMİŞ HUKUKİ VE SAYISAL UZMAN DENETİM RAPORU</w:t>
      </w:r>
    </w:p>
    <w:p>
      <w:pPr>
        <w:jc w:val="center"/>
      </w:pPr>
      <w:r>
        <w:rPr>
          <w:i/>
          <w:sz w:val="18"/>
        </w:rPr>
        <w:t>Rapor Tarihi: 19.06.2026 03:03 | Altyapı: UCP 600 &amp; ISBP 821 Hukuk Motoru v5.0</w:t>
      </w:r>
    </w:p>
    <w:p>
      <w:r>
        <w:t>----------------------------------------------------------------------</w:t>
      </w:r>
    </w:p>
    <w:p>
      <w:r>
        <w:rPr>
          <w:rFonts w:ascii="Arial" w:hAnsi="Arial"/>
          <w:b/>
          <w:color w:val="2B6CB0"/>
          <w:sz w:val="24"/>
        </w:rPr>
        <w:t>1. Kritik Süreler ve Vade Analizi</w:t>
      </w:r>
    </w:p>
    <w:p>
      <w:pPr>
        <w:pStyle w:val="ListBullet"/>
      </w:pPr>
      <w:r>
        <w:t>En Geç Yükleme Tarihi (Alan 44C): Belgeden tespit edilemedi — manuel kontrol gerekli.</w:t>
      </w:r>
    </w:p>
    <w:p>
      <w:pPr>
        <w:pStyle w:val="ListBullet"/>
      </w:pPr>
      <w:r>
        <w:t>Bankaya İbraz Süresi: Belgeden tespit edilemedi — UCP 600 Madde 14c varsayılan 21 günlük limit uygulanır.</w:t>
      </w:r>
    </w:p>
    <w:p>
      <w:r>
        <w:rPr>
          <w:rFonts w:ascii="Arial" w:hAnsi="Arial"/>
          <w:b/>
          <w:color w:val="2B6CB0"/>
          <w:sz w:val="24"/>
        </w:rPr>
        <w:t>2. Finansal Vade ve Ödeme Takvimi</w:t>
      </w:r>
    </w:p>
    <w:p>
      <w:pPr>
        <w:pStyle w:val="ListBullet"/>
      </w:pPr>
      <w:r>
        <w:t>Ödeme Vadesi: Belgelerden tespit edilemedi — manuel kontrol önerilir.</w:t>
      </w:r>
    </w:p>
    <w:p>
      <w:r>
        <w:rPr>
          <w:rFonts w:ascii="Arial" w:hAnsi="Arial"/>
          <w:b/>
          <w:color w:val="2B6CB0"/>
          <w:sz w:val="24"/>
        </w:rPr>
        <w:t>3. Incoterms ve Sigorta Hukuku (ICC 2020)</w:t>
      </w:r>
    </w:p>
    <w:p>
      <w:pPr>
        <w:pStyle w:val="ListBullet"/>
      </w:pPr>
      <w:r>
        <w:t>Incoterms Standardı: Metinden tespit edilemedi — manuel kontrol önerilir.</w:t>
      </w:r>
    </w:p>
    <w:p>
      <w:r>
        <w:rPr>
          <w:rFonts w:ascii="Arial" w:hAnsi="Arial"/>
          <w:b/>
          <w:color w:val="2B6CB0"/>
          <w:sz w:val="24"/>
        </w:rPr>
        <w:t>4. Sayısal ve Çapraz Evrak Uyumluluk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Belgeler</w:t>
            </w:r>
          </w:p>
        </w:tc>
        <w:tc>
          <w:tcPr>
            <w:tcW w:type="dxa" w:w="3120"/>
          </w:tcPr>
          <w:p>
            <w:r>
              <w:t>İnceleme Detayı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Fatura vs Akreditif Tutarı (Art 18 / Art 30)</w:t>
            </w:r>
          </w:p>
        </w:tc>
        <w:tc>
          <w:tcPr>
            <w:tcW w:type="dxa" w:w="3120"/>
          </w:tcPr>
          <w:p>
            <w:r>
              <w:t>Tutar tespit edilemedi: Fatura, Akreditif (32B)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Fatura vs Konşimento Kilo</w:t>
            </w:r>
          </w:p>
        </w:tc>
        <w:tc>
          <w:tcPr>
            <w:tcW w:type="dxa" w:w="3120"/>
          </w:tcPr>
          <w:p>
            <w:r>
              <w:t>Brüt kilo değeri tespit edilemedi: Fatura, Konşimento</w:t>
            </w:r>
          </w:p>
        </w:tc>
        <w:tc>
          <w:tcPr>
            <w:tcW w:type="dxa" w:w="3120"/>
          </w:tcPr>
          <w:p>
            <w:r>
              <w:t>VERİ EKSİK - MANUEL KONTROL GEREKLİ</w:t>
            </w:r>
          </w:p>
        </w:tc>
      </w:tr>
      <w:tr>
        <w:tc>
          <w:tcPr>
            <w:tcW w:type="dxa" w:w="3120"/>
          </w:tcPr>
          <w:p>
            <w:r>
              <w:t>Fatura Mal Tanımı vs Küşat (Art 18c)</w:t>
            </w:r>
          </w:p>
        </w:tc>
        <w:tc>
          <w:tcPr>
            <w:tcW w:type="dxa" w:w="3120"/>
          </w:tcPr>
          <w:p>
            <w:r>
              <w:t>Mal tanımı tespit edilemedi: Fatura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  <w:tr>
        <w:tc>
          <w:tcPr>
            <w:tcW w:type="dxa" w:w="3120"/>
          </w:tcPr>
          <w:p>
            <w:r>
              <w:t>Konşimento Yükleme Tarihi vs Alan 44C (Art 20)</w:t>
            </w:r>
          </w:p>
        </w:tc>
        <w:tc>
          <w:tcPr>
            <w:tcW w:type="dxa" w:w="3120"/>
          </w:tcPr>
          <w:p>
            <w:r>
              <w:t>Tarih tespit edilemedi: Konşimento yükleme tarihi, Küşat 44C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5. Konşimento ve Taşıma Hukuku Parametreleri</w:t>
      </w:r>
    </w:p>
    <w:p>
      <w:pPr>
        <w:pStyle w:val="ListBullet"/>
      </w:pPr>
      <w:r>
        <w:t>[REZERV RİSKİ] Konşimento belgesi depoda bulunamadı!</w:t>
      </w:r>
    </w:p>
    <w:p>
      <w:r>
        <w:rPr>
          <w:rFonts w:ascii="Arial" w:hAnsi="Arial"/>
          <w:b/>
          <w:color w:val="2B6CB0"/>
          <w:sz w:val="24"/>
        </w:rPr>
        <w:t>6. 46A Belge Şartları Kontrolü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Talep Edilen Belge</w:t>
            </w:r>
          </w:p>
        </w:tc>
        <w:tc>
          <w:tcPr>
            <w:tcW w:type="dxa" w:w="3120"/>
          </w:tcPr>
          <w:p>
            <w:r>
              <w:t>Detay</w:t>
            </w:r>
          </w:p>
        </w:tc>
        <w:tc>
          <w:tcPr>
            <w:tcW w:type="dxa" w:w="3120"/>
          </w:tcPr>
          <w:p>
            <w:r>
              <w:t>Durum</w:t>
            </w:r>
          </w:p>
        </w:tc>
      </w:tr>
      <w:tr>
        <w:tc>
          <w:tcPr>
            <w:tcW w:type="dxa" w:w="3120"/>
          </w:tcPr>
          <w:p>
            <w:r>
              <w:t>Alan 46A</w:t>
            </w:r>
          </w:p>
        </w:tc>
        <w:tc>
          <w:tcPr>
            <w:tcW w:type="dxa" w:w="3120"/>
          </w:tcPr>
          <w:p>
            <w:r>
              <w:t>MT700 Alan 46A tespit edilemedi.</w:t>
            </w:r>
          </w:p>
        </w:tc>
        <w:tc>
          <w:tcPr>
            <w:tcW w:type="dxa" w:w="3120"/>
          </w:tcPr>
          <w:p>
            <w:r>
              <w:t>MANUEL KONTROL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7. UCP 600 Hukuki Maddeleri ve Uzman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Madde</w:t>
            </w:r>
          </w:p>
        </w:tc>
        <w:tc>
          <w:tcPr>
            <w:tcW w:type="dxa" w:w="2340"/>
          </w:tcPr>
          <w:p>
            <w:r>
              <w:t>Açıklama</w:t>
            </w:r>
          </w:p>
        </w:tc>
        <w:tc>
          <w:tcPr>
            <w:tcW w:type="dxa" w:w="2340"/>
          </w:tcPr>
          <w:p>
            <w:r>
              <w:t>Sistem Durumu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Belgelerin İncelenmesi Standartları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21 günlük banka ibraz süresi kısıtlaması uygulandı (Madde 14c).</w:t>
            </w:r>
          </w:p>
        </w:tc>
      </w:tr>
      <w:tr>
        <w:tc>
          <w:tcPr>
            <w:tcW w:type="dxa" w:w="2340"/>
          </w:tcPr>
          <w:p>
            <w:r>
              <w:t>Art 15</w:t>
            </w:r>
          </w:p>
        </w:tc>
        <w:tc>
          <w:tcPr>
            <w:tcW w:type="dxa" w:w="2340"/>
          </w:tcPr>
          <w:p>
            <w:r>
              <w:t>Uyumlu İbraz (Complying Presentation)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Uyumlu ibrazın teyidi için bankayla doğrulama gerekir.</w:t>
            </w:r>
          </w:p>
        </w:tc>
      </w:tr>
      <w:tr>
        <w:tc>
          <w:tcPr>
            <w:tcW w:type="dxa" w:w="2340"/>
          </w:tcPr>
          <w:p>
            <w:r>
              <w:t>Art 17</w:t>
            </w:r>
          </w:p>
        </w:tc>
        <w:tc>
          <w:tcPr>
            <w:tcW w:type="dxa" w:w="2340"/>
          </w:tcPr>
          <w:p>
            <w:r>
              <w:t>Orijinal Belgeler ve Suretler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Banka ibrazında orijinal/suret kaşelerinin varlığı aranır.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Ticari Fatura (Commercial Invoice)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Mal tanımı ve tutar uyumu analiz edildi (Art 18c).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Konşimento (Bill of Lading)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Shipped on Board şerhi, yükleme tarihi ve kilo denetimi yapıldı.</w:t>
            </w:r>
          </w:p>
        </w:tc>
      </w:tr>
      <w:tr>
        <w:tc>
          <w:tcPr>
            <w:tcW w:type="dxa" w:w="2340"/>
          </w:tcPr>
          <w:p>
            <w:r>
              <w:t>Art 27</w:t>
            </w:r>
          </w:p>
        </w:tc>
        <w:tc>
          <w:tcPr>
            <w:tcW w:type="dxa" w:w="2340"/>
          </w:tcPr>
          <w:p>
            <w:r>
              <w:t>Temiz Taşıma Belgesi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Kirli konşimento ifadeleri tarandı (Art 27).</w:t>
            </w:r>
          </w:p>
        </w:tc>
      </w:tr>
      <w:tr>
        <w:tc>
          <w:tcPr>
            <w:tcW w:type="dxa" w:w="2340"/>
          </w:tcPr>
          <w:p>
            <w:r>
              <w:t>Art 28</w:t>
            </w:r>
          </w:p>
        </w:tc>
        <w:tc>
          <w:tcPr>
            <w:tcW w:type="dxa" w:w="2340"/>
          </w:tcPr>
          <w:p>
            <w:r>
              <w:t>Sigorta Belgesi ve Kapsamı</w:t>
            </w:r>
          </w:p>
        </w:tc>
        <w:tc>
          <w:tcPr>
            <w:tcW w:type="dxa" w:w="2340"/>
          </w:tcPr>
          <w:p>
            <w:r>
              <w:t>DOĞRUDAN GEÇMİYOR</w:t>
            </w:r>
          </w:p>
        </w:tc>
        <w:tc>
          <w:tcPr>
            <w:tcW w:type="dxa" w:w="2340"/>
          </w:tcPr>
          <w:p>
            <w:r>
              <w:t>%110 teminat hesabı dahil sigorta uyumu analiz edildi.</w:t>
            </w:r>
          </w:p>
        </w:tc>
      </w:tr>
      <w:tr>
        <w:tc>
          <w:tcPr>
            <w:tcW w:type="dxa" w:w="2340"/>
          </w:tcPr>
          <w:p>
            <w:r>
              <w:t>Art 30</w:t>
            </w:r>
          </w:p>
        </w:tc>
        <w:tc>
          <w:tcPr>
            <w:tcW w:type="dxa" w:w="2340"/>
          </w:tcPr>
          <w:p>
            <w:r>
              <w:t>Miktar ve Tutarda Toleranslar</w:t>
            </w:r>
          </w:p>
        </w:tc>
        <w:tc>
          <w:tcPr>
            <w:tcW w:type="dxa" w:w="2340"/>
          </w:tcPr>
          <w:p>
            <w:r>
              <w:t>MANUEL KONTROL</w:t>
            </w:r>
          </w:p>
        </w:tc>
        <w:tc>
          <w:tcPr>
            <w:tcW w:type="dxa" w:w="2340"/>
          </w:tcPr>
          <w:p>
            <w:r>
              <w:t>%5 tolerans kuralı uygulandı (Art 30b).</w:t>
            </w:r>
          </w:p>
        </w:tc>
      </w:tr>
      <w:tr>
        <w:tc>
          <w:tcPr>
            <w:tcW w:type="dxa" w:w="2340"/>
          </w:tcPr>
          <w:p>
            <w:r>
              <w:t>Art 1</w:t>
            </w:r>
          </w:p>
        </w:tc>
        <w:tc>
          <w:tcPr>
            <w:tcW w:type="dxa" w:w="2340"/>
          </w:tcPr>
          <w:p>
            <w:r>
              <w:t>UCP 600 kurallarına tabi olduğu açıkça yazılmalıdır.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UCP 600</w:t>
            </w:r>
          </w:p>
        </w:tc>
      </w:tr>
      <w:tr>
        <w:tc>
          <w:tcPr>
            <w:tcW w:type="dxa" w:w="2340"/>
          </w:tcPr>
          <w:p>
            <w:r>
              <w:t>Art 3</w:t>
            </w:r>
          </w:p>
        </w:tc>
        <w:tc>
          <w:tcPr>
            <w:tcW w:type="dxa" w:w="2340"/>
          </w:tcPr>
          <w:p>
            <w:r>
              <w:t>Akreditif gayrikabili rücu (dönülemez) olmalıdır.</w:t>
            </w:r>
          </w:p>
        </w:tc>
        <w:tc>
          <w:tcPr>
            <w:tcW w:type="dxa" w:w="2340"/>
          </w:tcPr>
          <w:p>
            <w:r>
              <w:t>ZORUNLU KURAL</w:t>
            </w:r>
          </w:p>
        </w:tc>
        <w:tc>
          <w:tcPr>
            <w:tcW w:type="dxa" w:w="2340"/>
          </w:tcPr>
          <w:p>
            <w:r>
              <w:t>IRREVOCABLE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8. ISBP 821 Yorum Tablosu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UCP Maddesi</w:t>
            </w:r>
          </w:p>
        </w:tc>
        <w:tc>
          <w:tcPr>
            <w:tcW w:type="dxa" w:w="2340"/>
          </w:tcPr>
          <w:p>
            <w:r>
              <w:t>ISBP Prensibi</w:t>
            </w:r>
          </w:p>
        </w:tc>
        <w:tc>
          <w:tcPr>
            <w:tcW w:type="dxa" w:w="2340"/>
          </w:tcPr>
          <w:p>
            <w:r>
              <w:t>Bulgu</w:t>
            </w:r>
          </w:p>
        </w:tc>
        <w:tc>
          <w:tcPr>
            <w:tcW w:type="dxa" w:w="2340"/>
          </w:tcPr>
          <w:p>
            <w:r>
              <w:t>Öneri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vs Akreditif Tutarı (Art 18 / Art 30):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18</w:t>
            </w:r>
          </w:p>
        </w:tc>
        <w:tc>
          <w:tcPr>
            <w:tcW w:type="dxa" w:w="2340"/>
          </w:tcPr>
          <w:p>
            <w:r>
              <w:t>ISBP 821 Paragraf C1-C23 — Ticari Fatura Prensipleri</w:t>
            </w:r>
          </w:p>
        </w:tc>
        <w:tc>
          <w:tcPr>
            <w:tcW w:type="dxa" w:w="2340"/>
          </w:tcPr>
          <w:p>
            <w:r>
              <w:t>Fatura Mal Tanımı vs Küşat (Art 18c): MANUEL KONTROL</w:t>
            </w:r>
          </w:p>
        </w:tc>
        <w:tc>
          <w:tcPr>
            <w:tcW w:type="dxa" w:w="2340"/>
          </w:tcPr>
          <w:p>
            <w:r>
              <w:t>Mal tanımını akreditifteki 45A alanından kopyalayarak faturaya ekleyin. Fazla açıklama eklemeyin.</w:t>
            </w:r>
          </w:p>
        </w:tc>
      </w:tr>
      <w:tr>
        <w:tc>
          <w:tcPr>
            <w:tcW w:type="dxa" w:w="2340"/>
          </w:tcPr>
          <w:p>
            <w:r>
              <w:t>Art 20</w:t>
            </w:r>
          </w:p>
        </w:tc>
        <w:tc>
          <w:tcPr>
            <w:tcW w:type="dxa" w:w="2340"/>
          </w:tcPr>
          <w:p>
            <w:r>
              <w:t>ISBP 821 Paragraf E1-E30 — Konşimento Prensipleri</w:t>
            </w:r>
          </w:p>
        </w:tc>
        <w:tc>
          <w:tcPr>
            <w:tcW w:type="dxa" w:w="2340"/>
          </w:tcPr>
          <w:p>
            <w:r>
              <w:t>Konşimento Yükleme Tarihi vs Alan 44C (Art 20): MANUEL KONTROL</w:t>
            </w:r>
          </w:p>
        </w:tc>
        <w:tc>
          <w:tcPr>
            <w:tcW w:type="dxa" w:w="2340"/>
          </w:tcPr>
          <w:p>
            <w:r>
              <w:t>Konşimentonun 'On Board' notasyonunda tarih ile liman bilgisinin ayrıca yer aldığından emin olun.</w:t>
            </w:r>
          </w:p>
        </w:tc>
      </w:tr>
      <w:tr>
        <w:tc>
          <w:tcPr>
            <w:tcW w:type="dxa" w:w="2340"/>
          </w:tcPr>
          <w:p>
            <w:r>
              <w:t>Art 14</w:t>
            </w:r>
          </w:p>
        </w:tc>
        <w:tc>
          <w:tcPr>
            <w:tcW w:type="dxa" w:w="2340"/>
          </w:tcPr>
          <w:p>
            <w:r>
              <w:t>ISBP 821 Paragraf A1-A7 — Belge İnceleme Prensipleri</w:t>
            </w:r>
          </w:p>
        </w:tc>
        <w:tc>
          <w:tcPr>
            <w:tcW w:type="dxa" w:w="2340"/>
          </w:tcPr>
          <w:p>
            <w:r>
              <w:t>Belge inceleme süresi uygulandı (UCP Art 14c — en fazla 21 iş günü).</w:t>
            </w:r>
          </w:p>
        </w:tc>
        <w:tc>
          <w:tcPr>
            <w:tcW w:type="dxa" w:w="2340"/>
          </w:tcPr>
          <w:p>
            <w:r>
              <w:t>İbraz öncesi tüm belgeler 21 günlük süre kısıtlaması gözetilerek hazırlanmalıdır.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9. Tespit Edilen Kritik Rezervler ve Uzman Önerileri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Rezerv</w:t>
            </w:r>
          </w:p>
        </w:tc>
        <w:tc>
          <w:tcPr>
            <w:tcW w:type="dxa" w:w="1872"/>
          </w:tcPr>
          <w:p>
            <w:r>
              <w:t>Risk</w:t>
            </w:r>
          </w:p>
        </w:tc>
        <w:tc>
          <w:tcPr>
            <w:tcW w:type="dxa" w:w="1872"/>
          </w:tcPr>
          <w:p>
            <w:r>
              <w:t>Banka İtirazı</w:t>
            </w:r>
          </w:p>
        </w:tc>
        <w:tc>
          <w:tcPr>
            <w:tcW w:type="dxa" w:w="1872"/>
          </w:tcPr>
          <w:p>
            <w:r>
              <w:t>UCP Maddesi</w:t>
            </w:r>
          </w:p>
        </w:tc>
        <w:tc>
          <w:tcPr>
            <w:tcW w:type="dxa" w:w="1872"/>
          </w:tcPr>
          <w:p>
            <w:r>
              <w:t>Düzeltme</w:t>
            </w:r>
          </w:p>
        </w:tc>
      </w:tr>
      <w:tr>
        <w:tc>
          <w:tcPr>
            <w:tcW w:type="dxa" w:w="1872"/>
          </w:tcPr>
          <w:p>
            <w:r>
              <w:t>REZERV — Konşimento belgesi ibraz edilmemiş (Art 20)</w:t>
            </w:r>
          </w:p>
        </w:tc>
        <w:tc>
          <w:tcPr>
            <w:tcW w:type="dxa" w:w="1872"/>
          </w:tcPr>
          <w:p>
            <w:r>
              <w:t>KRİTİK</w:t>
            </w:r>
          </w:p>
        </w:tc>
        <w:tc>
          <w:tcPr>
            <w:tcW w:type="dxa" w:w="1872"/>
          </w:tcPr>
          <w:p>
            <w:r>
              <w:t>Temel taşıma belgesi olmadan ödeme kesinlikle yapılmayacaktır.</w:t>
            </w:r>
          </w:p>
        </w:tc>
        <w:tc>
          <w:tcPr>
            <w:tcW w:type="dxa" w:w="1872"/>
          </w:tcPr>
          <w:p>
            <w:r>
              <w:t>UCP 600 Art 20</w:t>
            </w:r>
          </w:p>
        </w:tc>
        <w:tc>
          <w:tcPr>
            <w:tcW w:type="dxa" w:w="1872"/>
          </w:tcPr>
          <w:p>
            <w:r>
              <w:t>Tam set orijinal konşimentoyu (genellikle 3/3) bankaya ibraz edin.</w:t>
            </w:r>
          </w:p>
        </w:tc>
      </w:tr>
    </w:tbl>
    <w:p>
      <w:r>
        <w:rPr>
          <w:rFonts w:ascii="Arial" w:hAnsi="Arial"/>
          <w:b/>
          <w:color w:val="2B6CB0"/>
          <w:sz w:val="24"/>
        </w:rPr>
        <w:t>10. Eksik Belgeler Özeti</w:t>
      </w:r>
    </w:p>
    <w:p>
      <w:pPr>
        <w:pStyle w:val="ListBullet"/>
      </w:pPr>
      <w:r>
        <w:t>EKSIK: Konşimento (Bill of Lading)</w:t>
      </w:r>
    </w:p>
    <w:p>
      <w:pPr>
        <w:pStyle w:val="ListBullet"/>
      </w:pPr>
      <w:r>
        <w:t>EKSIK: Ticari Fatura</w:t>
      </w:r>
    </w:p>
    <w:p>
      <w:pPr>
        <w:pStyle w:val="ListBullet"/>
      </w:pPr>
      <w:r>
        <w:t>EKSIK: Çeki Listesi / Packing List</w:t>
      </w:r>
    </w:p>
    <w:p>
      <w:r>
        <w:rPr>
          <w:rFonts w:ascii="Arial" w:hAnsi="Arial"/>
          <w:b/>
          <w:color w:val="2B6CB0"/>
          <w:sz w:val="24"/>
        </w:rPr>
        <w:t>11. Risk Değerlendirmesi ve Uyumluluk Skoru</w:t>
      </w:r>
    </w:p>
    <w:p>
      <w:pPr>
        <w:pStyle w:val="ListBullet"/>
      </w:pPr>
      <w:r>
        <w:t>Toplam Risk Puanı: 30 — Risk Sınıfı: ORTA RİSK</w:t>
      </w:r>
    </w:p>
    <w:p>
      <w:pPr>
        <w:pStyle w:val="ListBullet"/>
      </w:pPr>
      <w:r>
        <w:t>Uyumluluk Skoru: %65</w:t>
      </w:r>
    </w:p>
    <w:p>
      <w:pPr>
        <w:pStyle w:val="ListBullet"/>
      </w:pPr>
      <w:r>
        <w:t>1. REZERV — Konşimento belgesi ibraz edilmemiş (Art 20)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