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19.06.2026 03:14 | Altyapı: UCP 600 &amp; ISBP 821 Hukuk Motoru v5.0</w:t>
      </w:r>
    </w:p>
    <w:p>
      <w:r>
        <w:t>----------------------------------------------------------------------</w:t>
      </w:r>
    </w:p>
    <w:p>
      <w:r>
        <w:rPr>
          <w:rFonts w:ascii="Arial" w:hAnsi="Arial"/>
          <w:b/>
          <w:color w:val="2B6CB0"/>
          <w:sz w:val="24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4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3. Incoterms ve Sigorta Hukuku (ICC 2020)</w:t>
      </w:r>
    </w:p>
    <w:p>
      <w:pPr>
        <w:pStyle w:val="ListBullet"/>
      </w:pPr>
      <w:r>
        <w:t>Incoterms Standardı: Metinden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Fatura, Akreditif (32B)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değeri tespit edilemedi: Fatura, Konşimento</w:t>
            </w:r>
          </w:p>
        </w:tc>
        <w:tc>
          <w:tcPr>
            <w:tcW w:type="dxa" w:w="3120"/>
          </w:tcPr>
          <w:p>
            <w:r>
              <w:t>VERİ EKSİK - MANUEL KONTROL GEREKLİ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Fatura, Küşat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Konşimento yükleme tarihi,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5. Konşimento ve Taşıma Hukuku Parametreleri</w:t>
      </w:r>
    </w:p>
    <w:p>
      <w:pPr>
        <w:pStyle w:val="ListBullet"/>
      </w:pPr>
      <w:r>
        <w:t>[REZERV RİSKİ] Konşimento belgesi depoda bulunamadı!</w:t>
      </w:r>
    </w:p>
    <w:p>
      <w:r>
        <w:rPr>
          <w:rFonts w:ascii="Arial" w:hAnsi="Arial"/>
          <w:b/>
          <w:color w:val="2B6CB0"/>
          <w:sz w:val="24"/>
        </w:rPr>
        <w:t>6. 46A Belge Şartları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Talep Edilen Belge</w:t>
            </w:r>
          </w:p>
        </w:tc>
        <w:tc>
          <w:tcPr>
            <w:tcW w:type="dxa" w:w="3120"/>
          </w:tcPr>
          <w:p>
            <w:r>
              <w:t>Detay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Alan 46A</w:t>
            </w:r>
          </w:p>
        </w:tc>
        <w:tc>
          <w:tcPr>
            <w:tcW w:type="dxa" w:w="3120"/>
          </w:tcPr>
          <w:p>
            <w:r>
              <w:t>MT700 Alan 46A tespit edilemedi.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7.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21 günlük banka ibraz süresi kısıtlaması uygulandı (Madde 14c).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Uyumlu ibrazın teyidi için bankayla doğrulama gerekir.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Mal tanımı ve tutar uyumu analiz edildi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Shipped on Board şerhi, yükleme tarihi ve kilo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Kirli konşimento ifadeleri tarandı (Art 27).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%110 teminat hesabı dahil sigorta uyumu analiz edildi.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%5 tolerans kuralı uygulandı (Art 30b).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8. ISBP 821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UCP Maddesi</w:t>
            </w:r>
          </w:p>
        </w:tc>
        <w:tc>
          <w:tcPr>
            <w:tcW w:type="dxa" w:w="2340"/>
          </w:tcPr>
          <w:p>
            <w:r>
              <w:t>ISBP Prensibi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  <w:tc>
          <w:tcPr>
            <w:tcW w:type="dxa" w:w="2340"/>
          </w:tcPr>
          <w:p>
            <w:r>
              <w:t>Öneri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vs Akreditif Tutarı (Art 18 / Art 30):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Mal Tanımı vs Küşat (Art 18c):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821 Paragraf E1-E30 — Konşimento Prensipleri</w:t>
            </w:r>
          </w:p>
        </w:tc>
        <w:tc>
          <w:tcPr>
            <w:tcW w:type="dxa" w:w="2340"/>
          </w:tcPr>
          <w:p>
            <w:r>
              <w:t>Konşimento Yükleme Tarihi vs Alan 44C (Art 20): MANUEL KONTROL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821 Paragraf A1-A7 — Belge İnceleme Prensipleri</w:t>
            </w:r>
          </w:p>
        </w:tc>
        <w:tc>
          <w:tcPr>
            <w:tcW w:type="dxa" w:w="2340"/>
          </w:tcPr>
          <w:p>
            <w:r>
              <w:t>Belge inceleme süresi uygulandı (UCP Art 14c — en fazla 21 iş günü).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9. Tespit Edilen Kritik Rezervler ve Uzman Önerileri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Rezerv</w:t>
            </w:r>
          </w:p>
        </w:tc>
        <w:tc>
          <w:tcPr>
            <w:tcW w:type="dxa" w:w="1872"/>
          </w:tcPr>
          <w:p>
            <w:r>
              <w:t>Risk</w:t>
            </w:r>
          </w:p>
        </w:tc>
        <w:tc>
          <w:tcPr>
            <w:tcW w:type="dxa" w:w="1872"/>
          </w:tcPr>
          <w:p>
            <w:r>
              <w:t>Banka İtirazı</w:t>
            </w:r>
          </w:p>
        </w:tc>
        <w:tc>
          <w:tcPr>
            <w:tcW w:type="dxa" w:w="1872"/>
          </w:tcPr>
          <w:p>
            <w:r>
              <w:t>UCP Maddesi</w:t>
            </w:r>
          </w:p>
        </w:tc>
        <w:tc>
          <w:tcPr>
            <w:tcW w:type="dxa" w:w="1872"/>
          </w:tcPr>
          <w:p>
            <w:r>
              <w:t>Düzeltme</w:t>
            </w:r>
          </w:p>
        </w:tc>
      </w:tr>
      <w:tr>
        <w:tc>
          <w:tcPr>
            <w:tcW w:type="dxa" w:w="1872"/>
          </w:tcPr>
          <w:p>
            <w:r>
              <w:t>REZERV — Konşimento belgesi ibraz edilmemiş (Art 20)</w:t>
            </w:r>
          </w:p>
        </w:tc>
        <w:tc>
          <w:tcPr>
            <w:tcW w:type="dxa" w:w="1872"/>
          </w:tcPr>
          <w:p>
            <w:r>
              <w:t>KRİTİK</w:t>
            </w:r>
          </w:p>
        </w:tc>
        <w:tc>
          <w:tcPr>
            <w:tcW w:type="dxa" w:w="1872"/>
          </w:tcPr>
          <w:p>
            <w:r>
              <w:t>Temel taşıma belgesi olmadan ödeme kesinlikle yapılmayacaktır.</w:t>
            </w:r>
          </w:p>
        </w:tc>
        <w:tc>
          <w:tcPr>
            <w:tcW w:type="dxa" w:w="1872"/>
          </w:tcPr>
          <w:p>
            <w:r>
              <w:t>UCP 600 Art 20</w:t>
            </w:r>
          </w:p>
        </w:tc>
        <w:tc>
          <w:tcPr>
            <w:tcW w:type="dxa" w:w="1872"/>
          </w:tcPr>
          <w:p>
            <w:r>
              <w:t>Tam set orijinal konşimentoyu (genellikle 3/3) bankaya ibraz edin.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10. Eksik Belgeler Özeti</w:t>
      </w:r>
    </w:p>
    <w:p>
      <w:pPr>
        <w:pStyle w:val="ListBullet"/>
      </w:pPr>
      <w:r>
        <w:t>EKSIK: Konşimento (Bill of Lading)</w:t>
      </w:r>
    </w:p>
    <w:p>
      <w:pPr>
        <w:pStyle w:val="ListBullet"/>
      </w:pPr>
      <w:r>
        <w:t>EKSIK: Ticari Fatura</w:t>
      </w:r>
    </w:p>
    <w:p>
      <w:pPr>
        <w:pStyle w:val="ListBullet"/>
      </w:pPr>
      <w:r>
        <w:t>EKSIK: Çeki Listesi / Packing List</w:t>
      </w:r>
    </w:p>
    <w:p>
      <w:r>
        <w:rPr>
          <w:rFonts w:ascii="Arial" w:hAnsi="Arial"/>
          <w:b/>
          <w:color w:val="2B6CB0"/>
          <w:sz w:val="24"/>
        </w:rPr>
        <w:t>11. Risk Değerlendirmesi ve Uyumluluk Skoru</w:t>
      </w:r>
    </w:p>
    <w:p>
      <w:pPr>
        <w:pStyle w:val="ListBullet"/>
      </w:pPr>
      <w:r>
        <w:t>Toplam Risk Puanı: 30 — Risk Sınıfı: ORTA RİSK</w:t>
      </w:r>
    </w:p>
    <w:p>
      <w:pPr>
        <w:pStyle w:val="ListBullet"/>
      </w:pPr>
      <w:r>
        <w:t>Uyumluluk Skoru: %65</w:t>
      </w:r>
    </w:p>
    <w:p>
      <w:pPr>
        <w:pStyle w:val="ListBullet"/>
      </w:pPr>
      <w:r>
        <w:t>1. REZERV — Konşimento belgesi ibraz edilmemiş (Art 20)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