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2"/>
        </w:rPr>
        <w:t>📋 AKREDİTİF GELİŞMİŞ HUKUKİ VE SAYISAL UZMAN DENETİM RAPORU</w:t>
      </w:r>
    </w:p>
    <w:p>
      <w:pPr>
        <w:jc w:val="center"/>
      </w:pPr>
      <w:r>
        <w:rPr>
          <w:i/>
          <w:sz w:val="18"/>
        </w:rPr>
        <w:t>Rapor Tarihi: 09.06.2026 04:00 | Altyapı Sürümü: UCP 600 Hukuk Motoru v3.0</w:t>
      </w:r>
    </w:p>
    <w:p>
      <w:r>
        <w:t>------------------------------------------------------------</w:t>
      </w:r>
    </w:p>
    <w:p>
      <w:r>
        <w:rPr>
          <w:rFonts w:ascii="Arial" w:hAnsi="Arial"/>
          <w:b/>
          <w:color w:val="2B6CB0"/>
          <w:sz w:val="26"/>
        </w:rPr>
        <w:t>1. Kritik Süreler ve Vade Analizi</w:t>
      </w:r>
    </w:p>
    <w:p>
      <w:pPr>
        <w:pStyle w:val="ListBullet"/>
      </w:pPr>
      <w:r>
        <w:t>En Geç Yükleme Tarihi (Alan 44C): 15.07.2026</w:t>
      </w:r>
    </w:p>
    <w:p>
      <w:pPr>
        <w:pStyle w:val="ListBullet"/>
      </w:pPr>
      <w:r>
        <w:t>Bankaya İbraz Süresi: 05.08.2026 (UCP 600 Madde 14c'ye tam uyumlu).</w:t>
      </w:r>
    </w:p>
    <w:p>
      <w:r>
        <w:rPr>
          <w:rFonts w:ascii="Arial" w:hAnsi="Arial"/>
          <w:b/>
          <w:color w:val="2B6CB0"/>
          <w:sz w:val="26"/>
        </w:rPr>
        <w:t>2. Finansal Vade ve Ödeme Takvimi</w:t>
      </w:r>
    </w:p>
    <w:p>
      <w:pPr>
        <w:pStyle w:val="ListBullet"/>
      </w:pPr>
      <w:r>
        <w:t>Ödeme Vadesi: Görüldüğünde Ödemeli (Belgeler Uyumluysa İbraz Anında)</w:t>
      </w:r>
    </w:p>
    <w:p>
      <w:r>
        <w:rPr>
          <w:rFonts w:ascii="Arial" w:hAnsi="Arial"/>
          <w:b/>
          <w:color w:val="2B6CB0"/>
          <w:sz w:val="26"/>
        </w:rPr>
        <w:t>3. Incoterms ve Sigorta Hukuku (ICC 2020)</w:t>
      </w:r>
    </w:p>
    <w:p>
      <w:pPr>
        <w:pStyle w:val="ListBullet"/>
      </w:pPr>
      <w:r>
        <w:t>Incoterms Standardı: CIF (ICC 2020 Rules)</w:t>
      </w:r>
    </w:p>
    <w:p>
      <w:pPr>
        <w:pStyle w:val="ListBullet"/>
      </w:pPr>
      <w:r>
        <w:t>[OK] Hukuki Zorunluluk: CIF şartı gereği Resmi Sigorta Poliçesi dosyalar arasında saptandı ve incelendi (UCP 600 Art 28).</w:t>
      </w:r>
    </w:p>
    <w:p>
      <w:r>
        <w:rPr>
          <w:rFonts w:ascii="Arial" w:hAnsi="Arial"/>
          <w:b/>
          <w:color w:val="2B6CB0"/>
          <w:sz w:val="26"/>
        </w:rPr>
        <w:t>4. Sayısal ve Çapraz Evrak Uyumluluk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İnceleme Detayı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Fatura vs Konşimento Kilo</w:t>
            </w:r>
          </w:p>
        </w:tc>
        <w:tc>
          <w:tcPr>
            <w:tcW w:type="dxa" w:w="3120"/>
          </w:tcPr>
          <w:p>
            <w:r>
              <w:t>Fatura: 2450.0 KG | Konşimento: 2400.0 KG</w:t>
            </w:r>
          </w:p>
        </w:tc>
        <w:tc>
          <w:tcPr>
            <w:tcW w:type="dxa" w:w="3120"/>
          </w:tcPr>
          <w:p>
            <w:r>
              <w:t>REZERV RİSKİ - UYUMSUZ SAYISAL VERİ</w:t>
            </w:r>
          </w:p>
        </w:tc>
      </w:tr>
    </w:tbl>
    <w:p>
      <w:r>
        <w:rPr>
          <w:rFonts w:ascii="Arial" w:hAnsi="Arial"/>
          <w:b/>
          <w:color w:val="2B6CB0"/>
          <w:sz w:val="26"/>
        </w:rPr>
        <w:t>5. Konşimento ve Taşıma Hukuku Parametreleri</w:t>
      </w:r>
    </w:p>
    <w:p>
      <w:pPr>
        <w:pStyle w:val="ListBullet"/>
      </w:pPr>
      <w:r>
        <w:t>[OK] Konşimento üzerinde yasal 'Shipped on Board' şerhi saptandı (Art 20a-ii uyumlu).</w:t>
      </w:r>
    </w:p>
    <w:p>
      <w:r>
        <w:rPr>
          <w:rFonts w:ascii="Arial" w:hAnsi="Arial"/>
          <w:b/>
          <w:color w:val="2B6CB0"/>
          <w:sz w:val="26"/>
        </w:rPr>
        <w:t>6.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Açıklama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İncelenmesi Standartları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Standart 21 günlük yasal banka ibraz sınırı uygulandı.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İbraz (Complying Presentation)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Vesaiklerin bankaya eksiksiz ve hatasız ulaştığının teyidi.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Banka ibrazında orijinal/suret kaşelerinin varlığı aranır.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Mal tanımının küşat metniyle karakter doğrulaması yapıldı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Konşimento (Bill of Lading)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Shipped on Board şerhi ve ciro silsilesi hukuki denetimi yapıldı.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Taşıma Belgesi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Üzerinde hasar veya kusurlu ambalaj şerhi bulunmayan temiz belge kontrolü.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Kapsamı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Sigorta poliçesi saptandı. Fatura değerinin minimum %110'unu kapsadığı doğrulandı.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Akreditifte aksi belirtilmedikçe %5 / %10 tolerans limitleri.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