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2"/>
        </w:rPr>
        <w:t>📋 AKREDİTİF GELİŞMİŞ HUKUKİ VE SAYISAL UZMAN DENETİM RAPORU</w:t>
      </w:r>
    </w:p>
    <w:p>
      <w:pPr>
        <w:jc w:val="center"/>
      </w:pPr>
      <w:r>
        <w:rPr>
          <w:i/>
          <w:sz w:val="18"/>
        </w:rPr>
        <w:t>Rapor Tarihi: 09.06.2026 03:24 | Altyapı Sürümü: UCP 600 Hukuk Motoru v3.0</w:t>
      </w:r>
    </w:p>
    <w:p>
      <w:r>
        <w:t>------------------------------------------------------------</w:t>
      </w:r>
    </w:p>
    <w:p>
      <w:r>
        <w:rPr>
          <w:rFonts w:ascii="Arial" w:hAnsi="Arial"/>
          <w:b/>
          <w:color w:val="2B6CB0"/>
          <w:sz w:val="26"/>
        </w:rPr>
        <w:t>1. Kritik Süreler ve Vade Analizi</w:t>
      </w:r>
    </w:p>
    <w:p>
      <w:pPr>
        <w:pStyle w:val="ListBullet"/>
      </w:pPr>
      <w:r>
        <w:t>En Geç Yükleme Tarihi (Alan 44C): 15.07.2026</w:t>
      </w:r>
    </w:p>
    <w:p>
      <w:pPr>
        <w:pStyle w:val="ListBullet"/>
      </w:pPr>
      <w:r>
        <w:t>Bankaya İbraz Süresi: 05.08.2026 (UCP 600 Madde 14c'ye tam uyumlu).</w:t>
      </w:r>
    </w:p>
    <w:p>
      <w:r>
        <w:rPr>
          <w:rFonts w:ascii="Arial" w:hAnsi="Arial"/>
          <w:b/>
          <w:color w:val="2B6CB0"/>
          <w:sz w:val="26"/>
        </w:rPr>
        <w:t>2. Finansal Vade ve Ödeme Takvimi</w:t>
      </w:r>
    </w:p>
    <w:p>
      <w:pPr>
        <w:pStyle w:val="ListBullet"/>
      </w:pPr>
      <w:r>
        <w:t>Ödeme Vadesi: Görüldüğünde Ödemeli (Belgeler Uyumluysa İbraz Anında)</w:t>
      </w:r>
    </w:p>
    <w:p>
      <w:r>
        <w:rPr>
          <w:rFonts w:ascii="Arial" w:hAnsi="Arial"/>
          <w:b/>
          <w:color w:val="2B6CB0"/>
          <w:sz w:val="26"/>
        </w:rPr>
        <w:t>3. Incoterms ve Sigorta Hukuku (ICC 2020)</w:t>
      </w:r>
    </w:p>
    <w:p>
      <w:pPr>
        <w:pStyle w:val="ListBullet"/>
      </w:pPr>
      <w:r>
        <w:t>Incoterms Standardı: Metinden Tespit Edilemedi (Manuel Kontrol Önerilir)</w:t>
      </w:r>
    </w:p>
    <w:p>
      <w:r>
        <w:rPr>
          <w:rFonts w:ascii="Arial" w:hAnsi="Arial"/>
          <w:b/>
          <w:color w:val="2B6CB0"/>
          <w:sz w:val="26"/>
        </w:rPr>
        <w:t>4. Sayısal ve Çapraz Evrak Uyumluluk Kontrolü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Belgeler</w:t>
            </w:r>
          </w:p>
        </w:tc>
        <w:tc>
          <w:tcPr>
            <w:tcW w:type="dxa" w:w="3120"/>
          </w:tcPr>
          <w:p>
            <w:r>
              <w:t>İnceleme Detayı</w:t>
            </w:r>
          </w:p>
        </w:tc>
        <w:tc>
          <w:tcPr>
            <w:tcW w:type="dxa" w:w="3120"/>
          </w:tcPr>
          <w:p>
            <w:r>
              <w:t>Durum</w:t>
            </w:r>
          </w:p>
        </w:tc>
      </w:tr>
      <w:tr>
        <w:tc>
          <w:tcPr>
            <w:tcW w:type="dxa" w:w="3120"/>
          </w:tcPr>
          <w:p>
            <w:r>
              <w:t>Fatura vs Konşimento Kilo</w:t>
            </w:r>
          </w:p>
        </w:tc>
        <w:tc>
          <w:tcPr>
            <w:tcW w:type="dxa" w:w="3120"/>
          </w:tcPr>
          <w:p>
            <w:r>
              <w:t>Brüt Kilo Eşleşmesi (2450.0 KG)</w:t>
            </w:r>
          </w:p>
        </w:tc>
        <w:tc>
          <w:tcPr>
            <w:tcW w:type="dxa" w:w="3120"/>
          </w:tcPr>
          <w:p>
            <w:r>
              <w:t>UYUMLU</w:t>
            </w:r>
          </w:p>
        </w:tc>
      </w:tr>
    </w:tbl>
    <w:p>
      <w:r>
        <w:rPr>
          <w:rFonts w:ascii="Arial" w:hAnsi="Arial"/>
          <w:b/>
          <w:color w:val="2B6CB0"/>
          <w:sz w:val="26"/>
        </w:rPr>
        <w:t>5. Konşimento ve Taşıma Hukuku Parametreleri</w:t>
      </w:r>
    </w:p>
    <w:p>
      <w:pPr>
        <w:pStyle w:val="ListBullet"/>
      </w:pPr>
      <w:r>
        <w:t>[REZERV RİSKİ] Konşimentoda zorunlu 'Shipped on Board' yükleme şerhi açıkça bulunamadı!</w:t>
      </w:r>
    </w:p>
    <w:p>
      <w:r>
        <w:rPr>
          <w:rFonts w:ascii="Arial" w:hAnsi="Arial"/>
          <w:b/>
          <w:color w:val="2B6CB0"/>
          <w:sz w:val="26"/>
        </w:rPr>
        <w:t>6. UCP 600 Hukuki Maddeleri ve Uzman Yorum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Madde</w:t>
            </w:r>
          </w:p>
        </w:tc>
        <w:tc>
          <w:tcPr>
            <w:tcW w:type="dxa" w:w="2340"/>
          </w:tcPr>
          <w:p>
            <w:r>
              <w:t>Açıklama</w:t>
            </w:r>
          </w:p>
        </w:tc>
        <w:tc>
          <w:tcPr>
            <w:tcW w:type="dxa" w:w="2340"/>
          </w:tcPr>
          <w:p>
            <w:r>
              <w:t>Sistem Durumu</w:t>
            </w:r>
          </w:p>
        </w:tc>
        <w:tc>
          <w:tcPr>
            <w:tcW w:type="dxa" w:w="2340"/>
          </w:tcPr>
          <w:p>
            <w:r>
              <w:t>Bulgu</w:t>
            </w:r>
          </w:p>
        </w:tc>
      </w:tr>
      <w:tr>
        <w:tc>
          <w:tcPr>
            <w:tcW w:type="dxa" w:w="2340"/>
          </w:tcPr>
          <w:p>
            <w:r>
              <w:t>Art 14</w:t>
            </w:r>
          </w:p>
        </w:tc>
        <w:tc>
          <w:tcPr>
            <w:tcW w:type="dxa" w:w="2340"/>
          </w:tcPr>
          <w:p>
            <w:r>
              <w:t>Belgelerin İncelenmesi Standartları</w:t>
            </w:r>
          </w:p>
        </w:tc>
        <w:tc>
          <w:tcPr>
            <w:tcW w:type="dxa" w:w="2340"/>
          </w:tcPr>
          <w:p>
            <w:r>
              <w:t>TESPİT EDİLDİ</w:t>
            </w:r>
          </w:p>
        </w:tc>
        <w:tc>
          <w:tcPr>
            <w:tcW w:type="dxa" w:w="2340"/>
          </w:tcPr>
          <w:p>
            <w:r>
              <w:t>Standart 21 günlük yasal banka ibraz sınırı uygulandı.</w:t>
            </w:r>
          </w:p>
        </w:tc>
      </w:tr>
      <w:tr>
        <w:tc>
          <w:tcPr>
            <w:tcW w:type="dxa" w:w="2340"/>
          </w:tcPr>
          <w:p>
            <w:r>
              <w:t>Art 15</w:t>
            </w:r>
          </w:p>
        </w:tc>
        <w:tc>
          <w:tcPr>
            <w:tcW w:type="dxa" w:w="2340"/>
          </w:tcPr>
          <w:p>
            <w:r>
              <w:t>Uyumlu İbraz (Complying Presentation)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Vesaiklerin bankaya eksiksiz ve hatasız ulaştığının teyidi.</w:t>
            </w:r>
          </w:p>
        </w:tc>
      </w:tr>
      <w:tr>
        <w:tc>
          <w:tcPr>
            <w:tcW w:type="dxa" w:w="2340"/>
          </w:tcPr>
          <w:p>
            <w:r>
              <w:t>Art 17</w:t>
            </w:r>
          </w:p>
        </w:tc>
        <w:tc>
          <w:tcPr>
            <w:tcW w:type="dxa" w:w="2340"/>
          </w:tcPr>
          <w:p>
            <w:r>
              <w:t>Orijinal Belgeler ve Suretler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Banka ibrazında orijinal/suret kaşelerinin varlığı aranır.</w:t>
            </w:r>
          </w:p>
        </w:tc>
      </w:tr>
      <w:tr>
        <w:tc>
          <w:tcPr>
            <w:tcW w:type="dxa" w:w="2340"/>
          </w:tcPr>
          <w:p>
            <w:r>
              <w:t>Art 18</w:t>
            </w:r>
          </w:p>
        </w:tc>
        <w:tc>
          <w:tcPr>
            <w:tcW w:type="dxa" w:w="2340"/>
          </w:tcPr>
          <w:p>
            <w:r>
              <w:t>Ticari Fatura (Commercial Invoice)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Mal tanımının küşat metniyle karakter doğrulaması yapıldı (Art 18c).</w:t>
            </w:r>
          </w:p>
        </w:tc>
      </w:tr>
      <w:tr>
        <w:tc>
          <w:tcPr>
            <w:tcW w:type="dxa" w:w="2340"/>
          </w:tcPr>
          <w:p>
            <w:r>
              <w:t>Art 20</w:t>
            </w:r>
          </w:p>
        </w:tc>
        <w:tc>
          <w:tcPr>
            <w:tcW w:type="dxa" w:w="2340"/>
          </w:tcPr>
          <w:p>
            <w:r>
              <w:t>Konşimento (Bill of Lading)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Shipped on Board şerhi ve ciro silsilesi hukuki denetimi yapıldı.</w:t>
            </w:r>
          </w:p>
        </w:tc>
      </w:tr>
      <w:tr>
        <w:tc>
          <w:tcPr>
            <w:tcW w:type="dxa" w:w="2340"/>
          </w:tcPr>
          <w:p>
            <w:r>
              <w:t>Art 27</w:t>
            </w:r>
          </w:p>
        </w:tc>
        <w:tc>
          <w:tcPr>
            <w:tcW w:type="dxa" w:w="2340"/>
          </w:tcPr>
          <w:p>
            <w:r>
              <w:t>Temiz Taşıma Belgesi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Üzerinde hasar veya kusurlu ambalaj şerhi bulunmayan temiz belge kontrolü.</w:t>
            </w:r>
          </w:p>
        </w:tc>
      </w:tr>
      <w:tr>
        <w:tc>
          <w:tcPr>
            <w:tcW w:type="dxa" w:w="2340"/>
          </w:tcPr>
          <w:p>
            <w:r>
              <w:t>Art 28</w:t>
            </w:r>
          </w:p>
        </w:tc>
        <w:tc>
          <w:tcPr>
            <w:tcW w:type="dxa" w:w="2340"/>
          </w:tcPr>
          <w:p>
            <w:r>
              <w:t>Sigorta Belgesi ve Kapsamı</w:t>
            </w:r>
          </w:p>
        </w:tc>
        <w:tc>
          <w:tcPr>
            <w:tcW w:type="dxa" w:w="2340"/>
          </w:tcPr>
          <w:p>
            <w:r>
              <w:t>UYGULANMAZ</w:t>
            </w:r>
          </w:p>
        </w:tc>
        <w:tc>
          <w:tcPr>
            <w:tcW w:type="dxa" w:w="2340"/>
          </w:tcPr>
          <w:p>
            <w:r>
              <w:t>Teslim şekli (BELİRSİZ) kuralları satıcının sigorta poliçesi ibrazını zorunlu kılmıyor.</w:t>
            </w:r>
          </w:p>
        </w:tc>
      </w:tr>
      <w:tr>
        <w:tc>
          <w:tcPr>
            <w:tcW w:type="dxa" w:w="2340"/>
          </w:tcPr>
          <w:p>
            <w:r>
              <w:t>Art 30</w:t>
            </w:r>
          </w:p>
        </w:tc>
        <w:tc>
          <w:tcPr>
            <w:tcW w:type="dxa" w:w="2340"/>
          </w:tcPr>
          <w:p>
            <w:r>
              <w:t>Miktar ve Tutarda Toleranslar</w:t>
            </w:r>
          </w:p>
        </w:tc>
        <w:tc>
          <w:tcPr>
            <w:tcW w:type="dxa" w:w="2340"/>
          </w:tcPr>
          <w:p>
            <w:r>
              <w:t>DOĞRUDAN GEÇMİYOR</w:t>
            </w:r>
          </w:p>
        </w:tc>
        <w:tc>
          <w:tcPr>
            <w:tcW w:type="dxa" w:w="2340"/>
          </w:tcPr>
          <w:p>
            <w:r>
              <w:t>Akreditifte aksi belirtilmedikçe %5 / %10 tolerans limitleri.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