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01:15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Eşleşmesi (2450.0 KG)</w:t>
            </w:r>
          </w:p>
        </w:tc>
        <w:tc>
          <w:tcPr>
            <w:tcW w:type="dxa" w:w="3120"/>
          </w:tcPr>
          <w:p>
            <w:r>
              <w:t>UYUMLU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UYGULANMAZ</w:t>
            </w:r>
          </w:p>
        </w:tc>
        <w:tc>
          <w:tcPr>
            <w:tcW w:type="dxa" w:w="2340"/>
          </w:tcPr>
          <w:p>
            <w:r>
              <w:t>Teslim şekli (BELİRSİZ) kuralları satıcının sigorta poliçesi ibrazını zorunlu kılmıyor.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