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2"/>
        </w:rPr>
        <w:t>📋 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09.06.2026 01:10 | Altyapı Sürümü: UCP 600 Hukuk Motoru v3.0</w:t>
      </w:r>
    </w:p>
    <w:p>
      <w:r>
        <w:t>------------------------------------------------------------</w:t>
      </w:r>
    </w:p>
    <w:p>
      <w:r>
        <w:rPr>
          <w:rFonts w:ascii="Arial" w:hAnsi="Arial"/>
          <w:b/>
          <w:color w:val="2B6CB0"/>
          <w:sz w:val="26"/>
        </w:rPr>
        <w:t>1. Kritik Süreler ve Vade Analizi</w:t>
      </w:r>
    </w:p>
    <w:p>
      <w:pPr>
        <w:pStyle w:val="ListBullet"/>
      </w:pPr>
      <w:r>
        <w:t>En Geç Yükleme Tarihi (Alan 44C): 15.07.2026</w:t>
      </w:r>
    </w:p>
    <w:p>
      <w:pPr>
        <w:pStyle w:val="ListBullet"/>
      </w:pPr>
      <w:r>
        <w:t>Bankaya İbraz Süresi: 05.08.2026 (UCP 600 Madde 14c'ye tam uyumlu).</w:t>
      </w:r>
    </w:p>
    <w:p>
      <w:r>
        <w:rPr>
          <w:rFonts w:ascii="Arial" w:hAnsi="Arial"/>
          <w:b/>
          <w:color w:val="2B6CB0"/>
          <w:sz w:val="26"/>
        </w:rPr>
        <w:t>2. Finansal Vade ve Ödeme Takvimi</w:t>
      </w:r>
    </w:p>
    <w:p>
      <w:r>
        <w:rPr>
          <w:rFonts w:ascii="Arial" w:hAnsi="Arial"/>
          <w:b/>
          <w:color w:val="2B6CB0"/>
          <w:sz w:val="26"/>
        </w:rPr>
        <w:t>3. Incoterms ve Sigorta Hukuku (ICC 2020)</w:t>
      </w:r>
    </w:p>
    <w:p>
      <w:r>
        <w:rPr>
          <w:rFonts w:ascii="Arial" w:hAnsi="Arial"/>
          <w:b/>
          <w:color w:val="2B6CB0"/>
          <w:sz w:val="26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Kilo Kontrolü</w:t>
            </w:r>
          </w:p>
        </w:tc>
        <w:tc>
          <w:tcPr>
            <w:tcW w:type="dxa" w:w="3120"/>
          </w:tcPr>
          <w:p>
            <w:r>
              <w:t>Dokümanlardan sayısal brüt kilo verisi tam izole edilemedi veya eşleşme manuel yapılmalı.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</w:tbl>
    <w:p>
      <w:r>
        <w:rPr>
          <w:rFonts w:ascii="Arial" w:hAnsi="Arial"/>
          <w:b/>
          <w:color w:val="2B6CB0"/>
          <w:sz w:val="26"/>
        </w:rPr>
        <w:t>5. Konşimento ve Taşıma Hukuku Parametreleri</w:t>
      </w:r>
    </w:p>
    <w:p>
      <w:r>
        <w:rPr>
          <w:rFonts w:ascii="Arial" w:hAnsi="Arial"/>
          <w:b/>
          <w:color w:val="2B6CB0"/>
          <w:sz w:val="26"/>
        </w:rPr>
        <w:t>6.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Standart 21 günlük yasal banka ibraz sınırı uygulandı.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Vesaiklerin bankaya eksiksiz ve hatasız ulaştığının teyidi.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Mal tanımının küşat metniyle karakter doğrulaması yapıldı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Shipped on Board şerhi ve ciro silsilesi hukuki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Üzerinde hasar veya kusurlu ambalaj şerhi bulunmayan temiz belge kontrolü.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UYGULANMAZ</w:t>
            </w:r>
          </w:p>
        </w:tc>
        <w:tc>
          <w:tcPr>
            <w:tcW w:type="dxa" w:w="2340"/>
          </w:tcPr>
          <w:p>
            <w:r>
              <w:t>Teslim şekli (BELİRSİZ) kuralları satıcının sigorta poliçesi ibrazını zorunlu kılmıyor.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Akreditifte aksi belirtilmedikçe %5 / %10 tolerans limitleri.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