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GELİŞMİŞ DIŞ TİCARET DENETİM VE ANALİZ RAPORU</w:t>
      </w:r>
    </w:p>
    <w:p>
      <w:r>
        <w:t>Rapor Tarihi: 07.06.2026 21:04</w:t>
        <w:br/>
      </w:r>
    </w:p>
    <w:p>
      <w:pPr>
        <w:pStyle w:val="Heading2"/>
      </w:pPr>
      <w:r>
        <w:t>1. Kritik Süreler ve Vade Analizi</w:t>
      </w:r>
    </w:p>
    <w:p>
      <w:r>
        <w:t>En Geç Yükleme Tarihi (44C): 15.06.2026</w:t>
      </w:r>
    </w:p>
    <w:p>
      <w:r>
        <w:t>Bankaya Son Evrak İbraz Tarihi: 06.07.2026</w:t>
      </w:r>
    </w:p>
    <w:p>
      <w:pPr>
        <w:pStyle w:val="Heading2"/>
      </w:pPr>
      <w:r>
        <w:t>2. Finansal Vade ve Ödeme Takvimi</w:t>
      </w:r>
    </w:p>
    <w:p>
      <w:r>
        <w:t>Vade: Konşimentodan 21 gün sonra.</w:t>
      </w:r>
    </w:p>
    <w:p>
      <w:r>
        <w:t>Tahmini Ödeme Günü: 03.07.2026</w:t>
      </w:r>
    </w:p>
    <w:p>
      <w:pPr>
        <w:pStyle w:val="Heading2"/>
      </w:pPr>
      <w:r>
        <w:t>3. Incoterms ve Sigorta Denetimi</w:t>
      </w:r>
    </w:p>
    <w:p>
      <w:r>
        <w:t>[BILGI] Saptanan teslim sekli: CIF</w:t>
      </w:r>
    </w:p>
    <w:p>
      <w:r>
        <w:t>[UYUMLU] Sigorta sartlari eksiksiz saptandi.</w:t>
      </w:r>
    </w:p>
    <w:p>
      <w:pPr>
        <w:pStyle w:val="Heading2"/>
      </w:pPr>
      <w:r>
        <w:t>4. Çapraz Evrak Uyumluluk Kontrolü</w:t>
      </w:r>
    </w:p>
    <w:p>
      <w:r>
        <w:t>[UYUMLU] Mal tanimi fatura ile uyusuyor.</w:t>
      </w:r>
    </w:p>
    <w:p>
      <w:r>
        <w:t>[UYUMLU] Fatura tarihi gumruk yuklemesinden once.</w:t>
      </w:r>
    </w:p>
    <w:p>
      <w:pPr>
        <w:pStyle w:val="Heading2"/>
      </w:pPr>
      <w:r>
        <w:t>5. Zorunlu UCP 600 Parametreleri</w:t>
      </w:r>
    </w:p>
    <w:p>
      <w:r>
        <w:t>[RISK] 'UCP 600' BULUNAMADI!</w:t>
      </w:r>
    </w:p>
    <w:p>
      <w:r>
        <w:t>[RISK] 'IRREVOCABLE' BULUNAMADI!</w:t>
      </w:r>
    </w:p>
    <w:p>
      <w:pPr>
        <w:pStyle w:val="Heading2"/>
      </w:pPr>
      <w:r>
        <w:t>6. UCP 600 Denetim ve Mevzuat Yorum Tablosu</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Kural / Madde</w:t>
            </w:r>
          </w:p>
        </w:tc>
        <w:tc>
          <w:tcPr>
            <w:tcW w:type="dxa" w:w="2160"/>
          </w:tcPr>
          <w:p>
            <w:r>
              <w:t>Durum</w:t>
            </w:r>
          </w:p>
        </w:tc>
        <w:tc>
          <w:tcPr>
            <w:tcW w:type="dxa" w:w="2160"/>
          </w:tcPr>
          <w:p>
            <w:r>
              <w:t>Bulgu Mesajı</w:t>
            </w:r>
          </w:p>
        </w:tc>
        <w:tc>
          <w:tcPr>
            <w:tcW w:type="dxa" w:w="2160"/>
          </w:tcPr>
          <w:p>
            <w:r>
              <w:t>Hukuki ve Pratik Uzman Yorumu</w:t>
            </w:r>
          </w:p>
        </w:tc>
      </w:tr>
      <w:tr>
        <w:tc>
          <w:tcPr>
            <w:tcW w:type="dxa" w:w="2160"/>
          </w:tcPr>
          <w:p>
            <w:r>
              <w:t>Art 5</w:t>
            </w:r>
          </w:p>
        </w:tc>
        <w:tc>
          <w:tcPr>
            <w:tcW w:type="dxa" w:w="2160"/>
          </w:tcPr>
          <w:p>
            <w:r>
              <w:t>TESPIT EDILDI</w:t>
            </w:r>
          </w:p>
        </w:tc>
        <w:tc>
          <w:tcPr>
            <w:tcW w:type="dxa" w:w="2160"/>
          </w:tcPr>
          <w:p>
            <w:r>
              <w:t>[Art 5] DOCUMENTS saptandi.</w:t>
            </w:r>
          </w:p>
        </w:tc>
        <w:tc>
          <w:tcPr>
            <w:tcW w:type="dxa" w:w="2160"/>
          </w:tcPr>
          <w:p>
            <w:r>
              <w:t>Bankaların işlemlerinin sadece belgeler üzerinden yürüdüğünü, mallar, hizmetler veya performanslarla ilgilenmediğini vurgular (Belge Ticareti İlkesi).</w:t>
            </w:r>
          </w:p>
        </w:tc>
      </w:tr>
      <w:tr>
        <w:tc>
          <w:tcPr>
            <w:tcW w:type="dxa" w:w="2160"/>
          </w:tcPr>
          <w:p>
            <w:r>
              <w:t>Art 14</w:t>
            </w:r>
          </w:p>
        </w:tc>
        <w:tc>
          <w:tcPr>
            <w:tcW w:type="dxa" w:w="2160"/>
          </w:tcPr>
          <w:p>
            <w:r>
              <w:t>TESPIT EDILDI</w:t>
            </w:r>
          </w:p>
        </w:tc>
        <w:tc>
          <w:tcPr>
            <w:tcW w:type="dxa" w:w="2160"/>
          </w:tcPr>
          <w:p>
            <w:r>
              <w:t>[Art 14] :48: saptandi.</w:t>
            </w:r>
          </w:p>
        </w:tc>
        <w:tc>
          <w:tcPr>
            <w:tcW w:type="dxa" w:w="2160"/>
          </w:tcPr>
          <w:p>
            <w:r>
              <w:t>Bankaların belgeleri inceleme standartlarını belirler. Belgelerin kendi arasında ve akreditifle çelişmemesi (tutarlılık) için en kritik maddedir.</w:t>
            </w:r>
          </w:p>
        </w:tc>
      </w:tr>
      <w:tr>
        <w:tc>
          <w:tcPr>
            <w:tcW w:type="dxa" w:w="2160"/>
          </w:tcPr>
          <w:p>
            <w:r>
              <w:t>Art 18</w:t>
            </w:r>
          </w:p>
        </w:tc>
        <w:tc>
          <w:tcPr>
            <w:tcW w:type="dxa" w:w="2160"/>
          </w:tcPr>
          <w:p>
            <w:r>
              <w:t>TESPIT EDILDI</w:t>
            </w:r>
          </w:p>
        </w:tc>
        <w:tc>
          <w:tcPr>
            <w:tcW w:type="dxa" w:w="2160"/>
          </w:tcPr>
          <w:p>
            <w:r>
              <w:t>[Art 18] COMMERCIAL INVOICE saptandi.</w:t>
            </w:r>
          </w:p>
        </w:tc>
        <w:tc>
          <w:tcPr>
            <w:tcW w:type="dxa" w:w="2160"/>
          </w:tcPr>
          <w:p>
            <w:r>
              <w:t>Ticari faturanın (Commercial Invoice) mutlaka lehtar tarafından düzenlenmesi, amir adına kesilmesi ve akreditif döviziyle uyumlu olması şartını koşar.</w:t>
            </w:r>
          </w:p>
        </w:tc>
      </w:tr>
      <w:tr>
        <w:tc>
          <w:tcPr>
            <w:tcW w:type="dxa" w:w="2160"/>
          </w:tcPr>
          <w:p>
            <w:r>
              <w:t>Art 20</w:t>
            </w:r>
          </w:p>
        </w:tc>
        <w:tc>
          <w:tcPr>
            <w:tcW w:type="dxa" w:w="2160"/>
          </w:tcPr>
          <w:p>
            <w:r>
              <w:t>TESPIT EDILDI</w:t>
            </w:r>
          </w:p>
        </w:tc>
        <w:tc>
          <w:tcPr>
            <w:tcW w:type="dxa" w:w="2160"/>
          </w:tcPr>
          <w:p>
            <w:r>
              <w:t>[Art 20] BILL OF LADING saptandi.</w:t>
            </w:r>
          </w:p>
        </w:tc>
        <w:tc>
          <w:tcPr>
            <w:tcW w:type="dxa" w:w="2160"/>
          </w:tcPr>
          <w:p>
            <w:r>
              <w:t>Deniz Konşimentosu (Bill of Lading) kurallarıdır. Belgenin mutlaka 'Shipped on Board' (Yüklendi) kaydı taşıması, orijinal olması ve taşıyanın imzasını barındırması zorunludur.</w:t>
            </w:r>
          </w:p>
        </w:tc>
      </w:tr>
      <w:tr>
        <w:tc>
          <w:tcPr>
            <w:tcW w:type="dxa" w:w="2160"/>
          </w:tcPr>
          <w:p>
            <w:r>
              <w:t>Art 27</w:t>
            </w:r>
          </w:p>
        </w:tc>
        <w:tc>
          <w:tcPr>
            <w:tcW w:type="dxa" w:w="2160"/>
          </w:tcPr>
          <w:p>
            <w:r>
              <w:t>TESPIT EDILDI</w:t>
            </w:r>
          </w:p>
        </w:tc>
        <w:tc>
          <w:tcPr>
            <w:tcW w:type="dxa" w:w="2160"/>
          </w:tcPr>
          <w:p>
            <w:r>
              <w:t>[Art 27] CLEAN saptandi.</w:t>
            </w:r>
          </w:p>
        </w:tc>
        <w:tc>
          <w:tcPr>
            <w:tcW w:type="dxa" w:w="2160"/>
          </w:tcPr>
          <w:p>
            <w:r>
              <w:t>Taşıma belgesinin 'Temiz' (Clean) olması gerektiğini, yani mal veya ambalajda hasar/kusur belirten hiçbir ibare taşımaması gerektiğini söyler.</w:t>
            </w:r>
          </w:p>
        </w:tc>
      </w:tr>
      <w:tr>
        <w:tc>
          <w:tcPr>
            <w:tcW w:type="dxa" w:w="2160"/>
          </w:tcPr>
          <w:p>
            <w:r>
              <w:t>Art 28</w:t>
            </w:r>
          </w:p>
        </w:tc>
        <w:tc>
          <w:tcPr>
            <w:tcW w:type="dxa" w:w="2160"/>
          </w:tcPr>
          <w:p>
            <w:r>
              <w:t>TESPIT EDILDI</w:t>
            </w:r>
          </w:p>
        </w:tc>
        <w:tc>
          <w:tcPr>
            <w:tcW w:type="dxa" w:w="2160"/>
          </w:tcPr>
          <w:p>
            <w:r>
              <w:t>[Art 28] INSURANCE saptandi.</w:t>
            </w:r>
          </w:p>
        </w:tc>
        <w:tc>
          <w:tcPr>
            <w:tcW w:type="dxa" w:w="2160"/>
          </w:tcPr>
          <w:p>
            <w:r>
              <w:t>Sigorta belgelerinin akreditif dövizinde olması, en geç yükleme gününde başlaması ve aksi belirtilmedikçe fatura tutarının en az %110'unu kapsaması şarttır.</w:t>
            </w:r>
          </w:p>
        </w:tc>
      </w:tr>
      <w:tr>
        <w:tc>
          <w:tcPr>
            <w:tcW w:type="dxa" w:w="2160"/>
          </w:tcPr>
          <w:p>
            <w:r>
              <w:t>Art 30</w:t>
            </w:r>
          </w:p>
        </w:tc>
        <w:tc>
          <w:tcPr>
            <w:tcW w:type="dxa" w:w="2160"/>
          </w:tcPr>
          <w:p>
            <w:r>
              <w:t>TESPIT EDILDI</w:t>
            </w:r>
          </w:p>
        </w:tc>
        <w:tc>
          <w:tcPr>
            <w:tcW w:type="dxa" w:w="2160"/>
          </w:tcPr>
          <w:p>
            <w:r>
              <w:t>[Art 30] TOLERANCE saptandi.</w:t>
            </w:r>
          </w:p>
        </w:tc>
        <w:tc>
          <w:tcPr>
            <w:tcW w:type="dxa" w:w="2160"/>
          </w:tcPr>
          <w:p>
            <w:r>
              <w:t>UCP 600 kuralları gereği bu maddenin operasyonel olarak yönetilmesi rezerv risklerini azaltır.</w:t>
            </w:r>
          </w:p>
        </w:tc>
      </w:tr>
      <w:tr>
        <w:tc>
          <w:tcPr>
            <w:tcW w:type="dxa" w:w="2160"/>
          </w:tcPr>
          <w:p>
            <w:r>
              <w:t>Madde 18(c)</w:t>
            </w:r>
          </w:p>
        </w:tc>
        <w:tc>
          <w:tcPr>
            <w:tcW w:type="dxa" w:w="2160"/>
          </w:tcPr>
          <w:p>
            <w:r>
              <w:t>UYUMLU</w:t>
            </w:r>
          </w:p>
        </w:tc>
        <w:tc>
          <w:tcPr>
            <w:tcW w:type="dxa" w:w="2160"/>
          </w:tcPr>
          <w:p>
            <w:r>
              <w:t>Madde 18(c): Ticari faturadaki mal tanımı akreditifle uyumlu.</w:t>
            </w:r>
          </w:p>
        </w:tc>
        <w:tc>
          <w:tcPr>
            <w:tcW w:type="dxa" w:w="2160"/>
          </w:tcPr>
          <w:p>
            <w:r>
              <w:t>Bu bulgu, akreditif kuralları (UCP 600) ve uluslararası bankacılık standart uygulamalarının (ISBP) çapraz evrak kontrolünden üretilmiştir.</w:t>
            </w:r>
          </w:p>
        </w:tc>
      </w:tr>
    </w:tbl>
    <w:p>
      <w:pPr>
        <w:pStyle w:val="Heading2"/>
      </w:pPr>
      <w:r>
        <w:t>7. Doğrudan Geçmeyen Maddeler Notu</w:t>
      </w:r>
    </w:p>
    <w:p>
      <w:r>
        <w:t>Aşağıdaki kurallara ait spesifik ifadeler SWIFT metninde doğrudan yer almamaktadır:</w:t>
        <w:br/>
        <w:t>Art 2, Art 4, Art 6, Art 7, Art 8, Art 9, Art 10, Art 11, Art 12, Art 13, Art 15, Art 16, Art 17, Art 19, Art 21, Art 22, Art 23, Art 24, Art 25, Art 26, Art 29, Art 31, Art 32, Art 33, Art 34, Art 35, Art 36, Art 37, Art 38, Art 39</w:t>
      </w:r>
    </w:p>
    <w:p>
      <w:r>
        <w:br/>
        <w:t>========================================</w:t>
      </w:r>
    </w:p>
    <w:p>
      <w:r>
        <w:t>SONUÇ: Rezerv riskleri tespit edildi! Evrakları bankaya ibraz etmeden önce riskli alanları revize edin.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