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Rostami-Tabar and Ziel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w:t>
      </w:r>
      <w:proofErr w:type="gramStart"/>
      <w:r w:rsidRPr="008F2352">
        <w:t>a large number of</w:t>
      </w:r>
      <w:proofErr w:type="gramEnd"/>
      <w:r w:rsidRPr="008F2352">
        <w:t xml:space="preserve"> studies dedicated to forecasting for EMS (Shi, Rostami-Tabar, and Gartner 2022; Gul and Celik 2020; Ibrahim et al. 2016; Wargon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w:t>
      </w:r>
      <w:proofErr w:type="gramStart"/>
      <w:r w:rsidRPr="008F2352">
        <w:t>i.e.</w:t>
      </w:r>
      <w:proofErr w:type="gramEnd"/>
      <w:r w:rsidRPr="008F2352">
        <w:t>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tscount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(Stodden and Miguez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(i)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w:t>
      </w:r>
      <w:proofErr w:type="gramStart"/>
      <w:r w:rsidRPr="008F2352">
        <w:t>compare and contrast</w:t>
      </w:r>
      <w:proofErr w:type="gramEnd"/>
      <w:r w:rsidRPr="008F2352">
        <w:t xml:space="preserve">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w:t>
      </w:r>
      <w:proofErr w:type="gramStart"/>
      <w:r w:rsidRPr="008F2352">
        <w:t>demand, and</w:t>
      </w:r>
      <w:proofErr w:type="gramEnd"/>
      <w:r w:rsidRPr="008F2352">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Grekousis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 xml:space="preserve">We note </w:t>
      </w:r>
      <w:proofErr w:type="gramStart"/>
      <w:r w:rsidRPr="008F2352">
        <w:t>a number of</w:t>
      </w:r>
      <w:proofErr w:type="gramEnd"/>
      <w:r w:rsidRPr="008F2352">
        <w:t xml:space="preserve">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w:t>
      </w:r>
      <w:proofErr w:type="gramStart"/>
      <w:r w:rsidRPr="008F2352">
        <w:t>time period</w:t>
      </w:r>
      <w:proofErr w:type="gramEnd"/>
      <w:r w:rsidRPr="008F2352">
        <w:t xml:space="preserve">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w:t>
                  </w:r>
                  <w:proofErr w:type="gramStart"/>
                  <w:r w:rsidRPr="008F2352">
                    <w:t>i.e.</w:t>
                  </w:r>
                  <w:proofErr w:type="gramEnd"/>
                  <w:r w:rsidRPr="008F2352">
                    <w:t>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AC0614"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w:t>
      </w:r>
      <w:proofErr w:type="gramStart"/>
      <w:r w:rsidR="00566091" w:rsidRPr="008F2352">
        <w:t>number</w:t>
      </w:r>
      <w:proofErr w:type="gramEnd"/>
      <w:r w:rsidR="00566091" w:rsidRPr="008F2352">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xml:space="preserve">. Each point represents one time series with the strength of trend in x-axis and the strength of seasonality in y-axis. Both measures are on a scale of [0,1]. </w:t>
      </w:r>
      <w:proofErr w:type="gramStart"/>
      <w:r w:rsidRPr="008F2352">
        <w:t>It is clear that there</w:t>
      </w:r>
      <w:proofErr w:type="gramEnd"/>
      <w:r w:rsidRPr="008F2352">
        <w:t xml:space="preserve"> are some series showing strong trends and/or seasonality, corresponding to series at the higher levels of the hierarchy. </w:t>
      </w:r>
      <w:proofErr w:type="gramStart"/>
      <w:r w:rsidRPr="008F2352">
        <w:t>The majority of</w:t>
      </w:r>
      <w:proofErr w:type="gramEnd"/>
      <w:r w:rsidRPr="008F2352">
        <w:t xml:space="preserve">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w:t>
      </w:r>
      <w:proofErr w:type="gramStart"/>
      <w:r w:rsidRPr="008F2352">
        <w:t>similar to</w:t>
      </w:r>
      <w:proofErr w:type="gramEnd"/>
      <w:r w:rsidRPr="008F2352">
        <w:t xml:space="preserve">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w:t>
      </w:r>
      <w:proofErr w:type="gramStart"/>
      <w:r w:rsidRPr="008F2352">
        <w:t>seasonality</w:t>
      </w:r>
      <w:proofErr w:type="gramEnd"/>
      <w:r w:rsidRPr="008F2352">
        <w:t xml:space="preserve">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gramStart"/>
      <w:r w:rsidRPr="008F2352">
        <w:rPr>
          <w:rStyle w:val="VerbatimChar"/>
          <w:sz w:val="24"/>
        </w:rPr>
        <w:t>ets(</w:t>
      </w:r>
      <w:proofErr w:type="gramEnd"/>
      <w:r w:rsidRPr="008F2352">
        <w:rPr>
          <w:rStyle w:val="VerbatimChar"/>
          <w:sz w:val="24"/>
        </w:rPr>
        <w:t>)</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proofErr w:type="gramStart"/>
      <w:r w:rsidRPr="008F2352">
        <w:rPr>
          <w:rStyle w:val="VerbatimChar"/>
          <w:sz w:val="24"/>
        </w:rPr>
        <w:t>glm(</w:t>
      </w:r>
      <w:proofErr w:type="gramEnd"/>
      <w:r w:rsidRPr="008F2352">
        <w:rPr>
          <w:rStyle w:val="VerbatimChar"/>
          <w:sz w:val="24"/>
        </w:rPr>
        <w:t>)</w:t>
      </w:r>
      <w:r w:rsidRPr="008F2352">
        <w:t xml:space="preserve"> from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account serial dependence, using the </w:t>
      </w:r>
      <w:proofErr w:type="gramStart"/>
      <w:r w:rsidRPr="008F2352">
        <w:rPr>
          <w:rStyle w:val="VerbatimChar"/>
          <w:sz w:val="24"/>
        </w:rPr>
        <w:t>tsglm(</w:t>
      </w:r>
      <w:proofErr w:type="gramEnd"/>
      <w:r w:rsidRPr="008F2352">
        <w:rPr>
          <w:rStyle w:val="VerbatimChar"/>
          <w:sz w:val="24"/>
        </w:rPr>
        <w:t>)</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always positive. This model captures the </w:t>
      </w:r>
      <w:proofErr w:type="gramStart"/>
      <w:r w:rsidRPr="008F2352">
        <w:t>short range</w:t>
      </w:r>
      <w:proofErr w:type="gramEnd"/>
      <w:r w:rsidRPr="008F2352">
        <w:t xml:space="preserv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various forecasting approaches, we split the data into a series of ten training and test sets. We use a time series cross-validation approach (R. J. Hyndman and Athanasopoulos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proofErr w:type="gramStart"/>
      <w:r w:rsidRPr="008F2352">
        <w:t>where</w:t>
      </w:r>
      <w:proofErr w:type="gramEnd"/>
    </w:p>
    <w:p w14:paraId="07773231" w14:textId="77777777" w:rsidR="00115334" w:rsidRPr="008F2352" w:rsidRDefault="00AC0614"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proofErr w:type="gramStart"/>
      <w:r w:rsidRPr="008F2352">
        <w:t>where</w:t>
      </w:r>
      <w:proofErr w:type="gramEnd"/>
      <w:r w:rsidRPr="008F2352">
        <w:t>,</w:t>
      </w:r>
    </w:p>
    <w:p w14:paraId="7BFE1F80" w14:textId="77777777" w:rsidR="00115334" w:rsidRPr="008F2352" w:rsidRDefault="00AC0614"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proofErr w:type="gramStart"/>
      <w:r w:rsidRPr="008F2352">
        <w:t>where</w:t>
      </w:r>
      <w:proofErr w:type="gramEnd"/>
    </w:p>
    <w:p w14:paraId="27B2E2AC" w14:textId="77777777" w:rsidR="00115334" w:rsidRPr="008F2352" w:rsidRDefault="00AC0614"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w:t>
      </w:r>
      <w:proofErr w:type="gramStart"/>
      <w:r w:rsidRPr="008F2352">
        <w:t>in particular in</w:t>
      </w:r>
      <w:proofErr w:type="gramEnd"/>
      <w:r w:rsidRPr="008F2352">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77777777"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t>
      </w:r>
      <w:proofErr w:type="gramStart"/>
      <w:r w:rsidRPr="008F2352">
        <w:t>where</w:t>
      </w:r>
      <w:proofErr w:type="gramEnd"/>
    </w:p>
    <w:p w14:paraId="5D6D2394" w14:textId="77777777" w:rsidR="00115334" w:rsidRPr="008F2352" w:rsidRDefault="00AC0614"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AC0614"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 xml:space="preserve">Forecast reconciliation approaches fill this gap by combining and reconciling all the base forecasts </w:t>
      </w:r>
      <w:proofErr w:type="gramStart"/>
      <w:r w:rsidRPr="008F2352">
        <w:t>in order to</w:t>
      </w:r>
      <w:proofErr w:type="gramEnd"/>
      <w:r w:rsidRPr="008F2352">
        <w:t xml:space="preserve"> produce coherent forecasts. Linear reconciliation methods can be written (Wickramasuriya, Athanasopoulos, and Hyndman 2019) as</w:t>
      </w:r>
    </w:p>
    <w:p w14:paraId="7A28B523" w14:textId="77777777" w:rsidR="00115334" w:rsidRPr="008F2352" w:rsidRDefault="00AC0614"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(MinT) reconciliation methods. We have also computed the forecast accuracy for Ordinary Least Square (OLS) and Weighted Least Square (WLS) approaches, along with bottom-up forecasting. However, they are not reported here because their accuracy is outperformed by MinT.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w:t>
      </w:r>
      <w:proofErr w:type="gramStart"/>
      <w:r w:rsidRPr="008F2352">
        <w:t>i.e.</w:t>
      </w:r>
      <w:proofErr w:type="gramEnd"/>
      <w:r w:rsidRPr="008F2352">
        <w:t> each column), based on the smallest values of accuracy measures.</w:t>
      </w:r>
    </w:p>
    <w:p w14:paraId="24B4114D" w14:textId="0C690D11" w:rsidR="00115334" w:rsidRDefault="00AC0614"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w:t>
      </w:r>
      <w:proofErr w:type="gramStart"/>
      <w:r w:rsidR="00566091" w:rsidRPr="008F2352">
        <w:t>i.e.</w:t>
      </w:r>
      <w:proofErr w:type="gramEnd"/>
      <w:r w:rsidR="00566091" w:rsidRPr="008F2352">
        <w:t xml:space="preserve"> MinT)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0A88633A" w:rsidR="00115334" w:rsidRPr="008F2352" w:rsidRDefault="00AC0614"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F50825">
        <w:t>bottom</w:t>
      </w:r>
      <w:r w:rsidR="00566091" w:rsidRPr="008F2352">
        <w:t xml:space="preserve">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it 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MinT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w:t>
      </w:r>
      <w:proofErr w:type="gramStart"/>
      <w:r w:rsidRPr="008F2352">
        <w:t>i.e.</w:t>
      </w:r>
      <w:proofErr w:type="gramEnd"/>
      <w:r w:rsidRPr="008F2352">
        <w:t>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could investigate the practical benefits of probabilistic hierarchical forecasting in EMS. Linking forecasts with its utilities (response time, resource utilization, etc)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31307EC1" w14:textId="3EB1F013" w:rsidR="00972D20" w:rsidRPr="00972D20" w:rsidRDefault="00566091" w:rsidP="00972D20">
      <w:pPr>
        <w:pStyle w:val="FirstParagraph"/>
      </w:pPr>
      <w:r w:rsidRPr="008F2352">
        <w:t>R code to produce all results in this paper is available at</w:t>
      </w:r>
      <w:r w:rsidR="00972D20">
        <w:t xml:space="preserve"> </w:t>
      </w:r>
      <w:hyperlink r:id="rId12" w:history="1">
        <w:r w:rsidR="00972D20" w:rsidRPr="00223395">
          <w:rPr>
            <w:rStyle w:val="Hyperlink"/>
          </w:rPr>
          <w:t>https://github.com/bahmanrostamitabar/hierarchical_forecasting_EMS</w:t>
        </w:r>
      </w:hyperlink>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lastRenderedPageBreak/>
        <w:t xml:space="preserve">Gneiting, Tilmann, and Matthias Katzfuss.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Muhammet,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 xml:space="preserve">Haugsbø Hermansen, Anna, and Ole Jakob Mengshoel.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w:t>
      </w:r>
      <w:proofErr w:type="gramStart"/>
      <w:r w:rsidRPr="008F2352">
        <w:t>A</w:t>
      </w:r>
      <w:proofErr w:type="gramEnd"/>
      <w:r w:rsidRPr="008F2352">
        <w:t xml:space="preserve">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Practice</w:t>
      </w:r>
      <w:r w:rsidRPr="008F2352">
        <w:t xml:space="preserve">. 3rd ed. OTexts.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 xml:space="preserve">Liboschik, Tobias, Konstantinos Fokianos, and Roland Fried. 2017. “Tscount: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8">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Brunsdon. 2010. “Using Genetic Algorithms to Optimise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Xiaoqian, Rob J Hyndman, Feng Li, and Yanfei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 xml:space="preserve">Wargon, M, B Guidet, TD Hoang, and G Hejblum.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 xml:space="preserve">Wickramasuriya, Shanika L., George Athanasopoulos,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A9414" w14:textId="77777777" w:rsidR="00AC0614" w:rsidRDefault="00AC0614">
      <w:pPr>
        <w:spacing w:after="0"/>
      </w:pPr>
      <w:r>
        <w:separator/>
      </w:r>
    </w:p>
  </w:endnote>
  <w:endnote w:type="continuationSeparator" w:id="0">
    <w:p w14:paraId="12E73D9E" w14:textId="77777777" w:rsidR="00AC0614" w:rsidRDefault="00AC06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7B783" w14:textId="77777777" w:rsidR="00AC0614" w:rsidRDefault="00AC0614">
      <w:r>
        <w:separator/>
      </w:r>
    </w:p>
  </w:footnote>
  <w:footnote w:type="continuationSeparator" w:id="0">
    <w:p w14:paraId="5E5E9C1D" w14:textId="77777777" w:rsidR="00AC0614" w:rsidRDefault="00AC0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566091"/>
    <w:rsid w:val="00617843"/>
    <w:rsid w:val="006D1846"/>
    <w:rsid w:val="008F2352"/>
    <w:rsid w:val="00972D20"/>
    <w:rsid w:val="00AC0614"/>
    <w:rsid w:val="00DB5543"/>
    <w:rsid w:val="00F5082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972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7220</Words>
  <Characters>41158</Characters>
  <Application>Microsoft Office Word</Application>
  <DocSecurity>0</DocSecurity>
  <Lines>342</Lines>
  <Paragraphs>96</Paragraphs>
  <ScaleCrop>false</ScaleCrop>
  <Company/>
  <LinksUpToDate>false</LinksUpToDate>
  <CharactersWithSpaces>48282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6</cp:revision>
  <dcterms:created xsi:type="dcterms:W3CDTF">2022-11-22T02:11:00Z</dcterms:created>
  <dcterms:modified xsi:type="dcterms:W3CDTF">2022-11-22T03:32:00Z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