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A827A" w14:textId="77777777" w:rsidR="009034C6" w:rsidRDefault="00784AE8">
      <w:pPr>
        <w:spacing w:after="1092" w:line="259" w:lineRule="auto"/>
        <w:ind w:left="0" w:right="15" w:firstLine="0"/>
        <w:jc w:val="center"/>
      </w:pPr>
      <w:r>
        <w:rPr>
          <w:sz w:val="29"/>
        </w:rPr>
        <w:t>Probabilistic forecasting of hourly Emergency Department arrivals</w:t>
      </w:r>
    </w:p>
    <w:p w14:paraId="14DC6B13" w14:textId="77777777" w:rsidR="009034C6" w:rsidRDefault="00784AE8">
      <w:pPr>
        <w:pStyle w:val="Heading1"/>
        <w:numPr>
          <w:ilvl w:val="0"/>
          <w:numId w:val="0"/>
        </w:numPr>
        <w:spacing w:after="96"/>
        <w:ind w:left="23"/>
      </w:pPr>
      <w:r>
        <w:t>Abstract</w:t>
      </w:r>
    </w:p>
    <w:p w14:paraId="670468D4" w14:textId="77777777" w:rsidR="009034C6" w:rsidRDefault="00784AE8">
      <w:pPr>
        <w:spacing w:after="98"/>
        <w:ind w:left="21" w:right="0" w:hanging="8"/>
      </w:pPr>
      <w:r>
        <w:t xml:space="preserve">An accurate forecast of Emergency Department (ED) arrivals by an hour of the day is critical to meet patients’ demand. It enables planners to match ED staff to the number of arrivals, redeploy staff, and reconfigure units. This can have many advantages for healthcare staff and the quality of care delivered to patients. In this study, we develop an innovative model based on Generalised Additive Models and an advanced dynamic model based on exponential smoothing to generate an hourly probabilistic forecast of ED arrivals. We compare the forecast accuracy of these models against appropriate benchmarks, including TBATS, Poisson Regression, Prophet, and simple empirical distribution. We use Root Mean Squared Error (RMSE) to examine the point forecast accuracy and assess the forecast distribution accuracy using Quantile Bias, </w:t>
      </w:r>
      <w:proofErr w:type="spellStart"/>
      <w:r>
        <w:t>PinBall</w:t>
      </w:r>
      <w:proofErr w:type="spellEnd"/>
      <w:r>
        <w:t xml:space="preserve"> Score and Pinball Skill Score. Our results indicate that the proposed models outperform their benchmarks for point and probabilistic forecasts. Our developed models can also be generalised to forecast hourly arrivals in other services such as hospitals, ambulances, or clinical desk services.</w:t>
      </w:r>
    </w:p>
    <w:p w14:paraId="2F367E4F" w14:textId="77777777" w:rsidR="009034C6" w:rsidRDefault="00784AE8">
      <w:pPr>
        <w:tabs>
          <w:tab w:val="center" w:pos="4643"/>
        </w:tabs>
        <w:ind w:left="0" w:right="0" w:firstLine="0"/>
        <w:jc w:val="left"/>
      </w:pPr>
      <w:r>
        <w:rPr>
          <w:i/>
        </w:rPr>
        <w:t>Key words:</w:t>
      </w:r>
      <w:r>
        <w:rPr>
          <w:i/>
        </w:rPr>
        <w:tab/>
      </w:r>
      <w:r>
        <w:t>Emergency Department, Arrivals, Poisson Regression, Probabilistic Forecasting,</w:t>
      </w:r>
    </w:p>
    <w:p w14:paraId="589868C0" w14:textId="77777777" w:rsidR="009034C6" w:rsidRDefault="00784AE8">
      <w:pPr>
        <w:spacing w:after="328"/>
        <w:ind w:left="13" w:right="0" w:firstLine="0"/>
      </w:pPr>
      <w:r>
        <w:t>Generalised Additive Models, Intermittent Exponential Smoothing</w:t>
      </w:r>
    </w:p>
    <w:p w14:paraId="69F77599" w14:textId="77777777" w:rsidR="009034C6" w:rsidRDefault="00784AE8">
      <w:pPr>
        <w:pStyle w:val="Heading1"/>
        <w:ind w:left="306" w:hanging="293"/>
      </w:pPr>
      <w:r>
        <w:t>Introduction</w:t>
      </w:r>
    </w:p>
    <w:p w14:paraId="55676558" w14:textId="77777777" w:rsidR="009034C6" w:rsidRDefault="00784AE8">
      <w:pPr>
        <w:ind w:left="13" w:right="0"/>
      </w:pPr>
      <w:r>
        <w:t xml:space="preserve">Forecasting Emergency Department (ED) arrivals is critical for informing staffing and scheduling decisions to meet the needs of patients. Accurate ED demand forecasts contribute to a better </w:t>
      </w:r>
      <w:proofErr w:type="spellStart"/>
      <w:r>
        <w:t>decisionmaking</w:t>
      </w:r>
      <w:proofErr w:type="spellEnd"/>
      <w:r>
        <w:t xml:space="preserve"> process regarding resources allocation and staffing. This is one of the best ways to optimise resources utilisation and minimise related costs. An accurate forecast of patient arrivals is crucial in ED services to depict various courses of action that can result in massive savings in terms of patient lives. Inability to match the staff with the demand might result in patients overcrowding the system, which is a severe problem that causes challenges for the patient flow [10]. Also, it is related to increasing length of stay [25], low patient satisfaction, unexpected return visits to services, increased health care costs, inaccuracy in electronic medical records and other [28].</w:t>
      </w:r>
    </w:p>
    <w:p w14:paraId="7AA7B6FC" w14:textId="77777777" w:rsidR="009034C6" w:rsidRDefault="00784AE8">
      <w:pPr>
        <w:ind w:left="13" w:right="0"/>
      </w:pPr>
      <w:r>
        <w:t xml:space="preserve">Accurate forecasting of arrivals by the hour of the day enables planners to match staff to meet anticipated patients, reconfigure units and redeploy staff. This has many advantages for both patients, staff and the quality of provided services. Hourly forecasts are required to inform the short-term operational planning for the current and the upcoming shifts of the day. This involves the short-term decision-making related to the execution of the delivery process in ED. The combination of an hourly arrival forecast, current staff, being occupied, resource availability and waiting times at ED provide information on the state of the unscheduled care system across the service. Having this complete picture enables the delivery managers to focus on the areas that require intervention to allow the most effective delivery of the service to the patients. However, compared with lower frequency time series forecasting such as monthly, quarterly and yearly, hourly forecasts are challenging because the noise caused by random variation may overshadow any pattern in the time series. Hourly time series generally exhibit multiple seasonal cycles of different lengths: hourly, daily, weekly, and yearly. They may also express </w:t>
      </w:r>
      <w:proofErr w:type="spellStart"/>
      <w:r>
        <w:t>nonstationarity</w:t>
      </w:r>
      <w:proofErr w:type="spellEnd"/>
      <w:r>
        <w:t>, and their profile may change over time. Therefore, an appropriate forecasting model should consider these features to accurately predict hourly demand admissions.</w:t>
      </w:r>
    </w:p>
    <w:p w14:paraId="49D17F2C" w14:textId="435E0EF1" w:rsidR="009034C6" w:rsidRDefault="00784AE8" w:rsidP="00210A5E">
      <w:pPr>
        <w:spacing w:after="529"/>
        <w:ind w:left="13" w:right="0"/>
      </w:pPr>
      <w:r>
        <w:t>There are few studies that look at forecasting hourly arrivals in ED and other hospital services using historical time series data and/or predictors such as patient characteristics, weather, holidays and public events. These studies use multiple approaches, including Exponential Smoothing [32], Autoregressive Integrated Moving Average (ARIMA) [17], Autoregressive Conditional Heteroskedasticity (ARCH) [3], Vector Autoregressive model [22], TBATS [9] and Artificial Neural Networks [17]. However, most of these studies are limited to only predicting future arrivals as a point forecast (a single number),</w:t>
      </w:r>
      <w:r w:rsidR="00210A5E">
        <w:t xml:space="preserve"> </w:t>
      </w:r>
      <w:r>
        <w:t xml:space="preserve">which does not quantify any uncertainty associated with the number of future arrivals. There are few studies that report uncertainty by presenting prediction intervals, but there is no study generating and evaluating the entire forecast distribution </w:t>
      </w:r>
      <w:r>
        <w:lastRenderedPageBreak/>
        <w:t>of arrivals. Reporting the uncertainty via the forecast distribution is potentially valuable in this setting because the consequences of inadequate staffing are asymmetric. This asymmetry arises because it is preferable to incur a small opportunity cost associated with utilised staff rather than compromise service levels if staff levels are insufficient. Probabilistic forecasts inform decision-makers about exposure to these risks and potentially enable those risks to be managed more efficiently.</w:t>
      </w:r>
    </w:p>
    <w:p w14:paraId="05089CEB" w14:textId="77777777" w:rsidR="009034C6" w:rsidRDefault="00784AE8">
      <w:pPr>
        <w:ind w:left="13" w:right="0"/>
      </w:pPr>
      <w:r>
        <w:t>Furthermore, if the impact of under- and overstaffing can be quantified, probabilistic forecasts allow ‘optimal’ decisions that balance the cost associated with under- and overstaffing to be calculated. Therefore, in this paper, in addition to generating point forecasts, we also produce and evaluate density forecasts of hourly ED arrivals, comparing several methods for this task. Another drawback of existing studies is that the datasets used are relatively small (e.g. time period of 1-2 years), making it challenging to report the forecast accuracy using robust approaches such as time series cross-validation. Such results might not be generalisable. Additionally, most of the forecasting methods used in these publications do not consider the full extent of the multiple seasonality of hourly ED arrivals. Moreover, all previous publications referenced in this paper are not fully reproducible as underlying data and code are not available.</w:t>
      </w:r>
    </w:p>
    <w:p w14:paraId="3678A65C" w14:textId="77777777" w:rsidR="009034C6" w:rsidRDefault="00784AE8">
      <w:pPr>
        <w:spacing w:after="124"/>
        <w:ind w:left="13" w:right="0"/>
      </w:pPr>
      <w:r>
        <w:t>In this paper, we aim at filling several gaps, and our contributions to the literature are summarised as follows:</w:t>
      </w:r>
    </w:p>
    <w:p w14:paraId="4D92D9BC" w14:textId="77777777" w:rsidR="009034C6" w:rsidRDefault="00784AE8">
      <w:pPr>
        <w:numPr>
          <w:ilvl w:val="0"/>
          <w:numId w:val="1"/>
        </w:numPr>
        <w:ind w:right="0" w:hanging="244"/>
      </w:pPr>
      <w:r>
        <w:t>We produce probabilistic forecasts, in addition to the point estimation, quantifying uncertainties in future hospital admission, and comparing different forecasting methods using a suite of</w:t>
      </w:r>
    </w:p>
    <w:p w14:paraId="15B7D19F" w14:textId="77777777" w:rsidR="009034C6" w:rsidRDefault="00784AE8">
      <w:pPr>
        <w:ind w:left="514" w:right="0" w:firstLine="0"/>
      </w:pPr>
      <w:r>
        <w:t>well-established evaluation metrics;</w:t>
      </w:r>
    </w:p>
    <w:p w14:paraId="47F18FD0" w14:textId="77777777" w:rsidR="009034C6" w:rsidRDefault="00784AE8">
      <w:pPr>
        <w:numPr>
          <w:ilvl w:val="0"/>
          <w:numId w:val="1"/>
        </w:numPr>
        <w:ind w:right="0" w:hanging="244"/>
      </w:pPr>
      <w:r>
        <w:t xml:space="preserve">We develop an advanced dynamic model to forecast ED arrivals based on </w:t>
      </w:r>
      <w:proofErr w:type="spellStart"/>
      <w:r>
        <w:t>iETS</w:t>
      </w:r>
      <w:proofErr w:type="spellEnd"/>
      <w:r>
        <w:t xml:space="preserve"> [34] and ETSX models with a modification for multiple frequencies, which produced highly-accurate point forecasts;</w:t>
      </w:r>
    </w:p>
    <w:p w14:paraId="1926EA3E" w14:textId="77777777" w:rsidR="009034C6" w:rsidRDefault="00784AE8">
      <w:pPr>
        <w:numPr>
          <w:ilvl w:val="0"/>
          <w:numId w:val="1"/>
        </w:numPr>
        <w:ind w:right="0" w:hanging="244"/>
      </w:pPr>
      <w:r>
        <w:t>We develop a novel model to produce a probabilistic forecast of ED arrivals based on Generalised</w:t>
      </w:r>
    </w:p>
    <w:p w14:paraId="04F51189" w14:textId="77777777" w:rsidR="009034C6" w:rsidRDefault="00784AE8">
      <w:pPr>
        <w:ind w:left="516" w:right="0" w:hanging="2"/>
      </w:pPr>
      <w:r>
        <w:t xml:space="preserve">Additive Models for Location Scale and Shape, which accounts for i) the bounded and </w:t>
      </w:r>
      <w:proofErr w:type="spellStart"/>
      <w:r>
        <w:t>nonGaussian</w:t>
      </w:r>
      <w:proofErr w:type="spellEnd"/>
      <w:r>
        <w:t xml:space="preserve"> distribution of arrivals, ii) multiple </w:t>
      </w:r>
      <w:proofErr w:type="spellStart"/>
      <w:r>
        <w:t>seasonalities</w:t>
      </w:r>
      <w:proofErr w:type="spellEnd"/>
      <w:r>
        <w:t>, weather and holiday effects, and iii) variation in forecast uncertainty;</w:t>
      </w:r>
    </w:p>
    <w:p w14:paraId="48AE7369" w14:textId="77777777" w:rsidR="009034C6" w:rsidRDefault="00784AE8">
      <w:pPr>
        <w:numPr>
          <w:ilvl w:val="0"/>
          <w:numId w:val="1"/>
        </w:numPr>
        <w:ind w:right="0" w:hanging="244"/>
      </w:pPr>
      <w:r>
        <w:t>We benchmark the accuracy of our model against appropriate models used when multiple seasonality is present, i.e. Prophet, TBATS, Poisson Regression, Exponential Smoothing State Space model (ETS) and the simple empirical distribution of the arrivals;</w:t>
      </w:r>
    </w:p>
    <w:p w14:paraId="678E5749" w14:textId="77777777" w:rsidR="009034C6" w:rsidRDefault="00784AE8">
      <w:pPr>
        <w:numPr>
          <w:ilvl w:val="0"/>
          <w:numId w:val="1"/>
        </w:numPr>
        <w:spacing w:after="151" w:line="226" w:lineRule="auto"/>
        <w:ind w:right="0" w:hanging="244"/>
      </w:pPr>
      <w:r>
        <w:t>We provide data and code enabling reproduction and refinement of the proposed approach and benchmarks. The proposed approach could also be generalised to forecast hourly requirements in other services, such as inpatient and outpatient care services, the number of attended incidents in ambulance services, or call volumes in clinical desk services.</w:t>
      </w:r>
    </w:p>
    <w:p w14:paraId="5AB78B0C" w14:textId="77777777" w:rsidR="009034C6" w:rsidRDefault="00784AE8">
      <w:pPr>
        <w:ind w:left="13" w:right="0"/>
      </w:pPr>
      <w:r>
        <w:t>The rest of the paper is organised as follows: In section 2, we provide a brief overview of hourly ED arrival forecasting; In Section 3, we present the hourly time series of an ED arrival and use various plots to highlight important patterns. In section 4, we describe the modelling approach and benchmark methods. We then discuss the performance evaluation metrics in section 5; in section 6, we present and discuss our results. Finally, we summarise our findings and present ideas for future research in section</w:t>
      </w:r>
    </w:p>
    <w:p w14:paraId="4E5E2B0B" w14:textId="77777777" w:rsidR="009034C6" w:rsidRDefault="00784AE8">
      <w:pPr>
        <w:spacing w:after="330"/>
        <w:ind w:left="13" w:right="0" w:firstLine="0"/>
      </w:pPr>
      <w:r>
        <w:t>7.</w:t>
      </w:r>
    </w:p>
    <w:p w14:paraId="0DA61D1D" w14:textId="77777777" w:rsidR="009034C6" w:rsidRDefault="00784AE8">
      <w:pPr>
        <w:pStyle w:val="Heading1"/>
        <w:ind w:left="306" w:hanging="293"/>
      </w:pPr>
      <w:r>
        <w:t>Research background: hourly ED forecasting</w:t>
      </w:r>
    </w:p>
    <w:p w14:paraId="38B7AC64" w14:textId="77777777" w:rsidR="009034C6" w:rsidRDefault="00784AE8">
      <w:pPr>
        <w:spacing w:after="11" w:line="226" w:lineRule="auto"/>
        <w:ind w:left="13" w:right="0" w:firstLine="296"/>
        <w:jc w:val="left"/>
      </w:pPr>
      <w:r>
        <w:t>Some studies employ models to forecast admissions and arrivals in Emergency Department. The time granularity considered by these studies spans from hourly to yearly. However, given the focus of the paper, we only discuss hourly ED forecasting.</w:t>
      </w:r>
    </w:p>
    <w:p w14:paraId="795D3D69" w14:textId="77777777" w:rsidR="009034C6" w:rsidRDefault="00784AE8">
      <w:pPr>
        <w:spacing w:after="431"/>
        <w:ind w:left="13" w:right="0"/>
      </w:pPr>
      <w:proofErr w:type="spellStart"/>
      <w:r>
        <w:t>Hertzum</w:t>
      </w:r>
      <w:proofErr w:type="spellEnd"/>
      <w:r>
        <w:t xml:space="preserve"> [14] used linear regression, ARIMA, and Naïve to investigate whether accurate hourly accident and emergency department patient arrivals and occupancy forecasts can be generated using calendar variables. </w:t>
      </w:r>
      <w:proofErr w:type="spellStart"/>
      <w:r>
        <w:t>Hertzum</w:t>
      </w:r>
      <w:proofErr w:type="spellEnd"/>
      <w:r>
        <w:t xml:space="preserve"> [14] study found that patient arrival variation is larger across the hours of the day than across the days of the week and the months of the year. In terms of the hour of the day,</w:t>
      </w:r>
    </w:p>
    <w:p w14:paraId="0909D11F" w14:textId="77777777" w:rsidR="009034C6" w:rsidRDefault="00784AE8">
      <w:pPr>
        <w:spacing w:after="3" w:line="259" w:lineRule="auto"/>
        <w:ind w:left="96" w:right="102" w:hanging="10"/>
        <w:jc w:val="center"/>
      </w:pPr>
      <w:r>
        <w:lastRenderedPageBreak/>
        <w:t>2</w:t>
      </w:r>
    </w:p>
    <w:p w14:paraId="58A83BFF" w14:textId="77777777" w:rsidR="009034C6" w:rsidRDefault="00784AE8">
      <w:pPr>
        <w:spacing w:after="11" w:line="226" w:lineRule="auto"/>
        <w:ind w:left="13" w:right="0" w:firstLine="5"/>
        <w:jc w:val="left"/>
      </w:pPr>
      <w:r>
        <w:t>patient arrivals peaked around noon. For days of the week, Monday is the busiest day, while weekends are the quietest ones. July-August are the months with the highest number of patient arrivals, while January and February have the lowest numbers. They indicate that regression and ARIMA models performed similarly in modelling patient arrivals, while ARIMA outperformed regression models in modelling accident and emergency department occupancy.</w:t>
      </w:r>
    </w:p>
    <w:p w14:paraId="49128625" w14:textId="77777777" w:rsidR="009034C6" w:rsidRDefault="00784AE8">
      <w:pPr>
        <w:ind w:left="13" w:right="0"/>
      </w:pPr>
      <w:r>
        <w:t>Choudhury and Urena [8] used ARIMA, Holt-Winters, TBATS, and neural network methods to forecast hourly accident and emergency department arrivals. ARIMA model was selected as the best fit model. Authors claimed that ARIMA provided high and acceptable hourly ED forecasting accuracy, even outperforming TBATS. Cheng et al. [6] developed an ARIMA model for ED occupancy with a seasonal component and exogenous variables, which outperformed a rolling-average benchmark. They also produce prediction intervals, a form of the probabilistic forecast, which were found to be well-calibrated, a necessary property for such forecasts.</w:t>
      </w:r>
    </w:p>
    <w:p w14:paraId="66B1117B" w14:textId="77777777" w:rsidR="009034C6" w:rsidRDefault="00784AE8">
      <w:pPr>
        <w:spacing w:after="11" w:line="226" w:lineRule="auto"/>
        <w:ind w:left="13" w:right="0" w:firstLine="296"/>
        <w:jc w:val="left"/>
      </w:pPr>
      <w:proofErr w:type="spellStart"/>
      <w:r>
        <w:t>Morzuch</w:t>
      </w:r>
      <w:proofErr w:type="spellEnd"/>
      <w:r>
        <w:t xml:space="preserve"> and Allen [24] used the Unobserved Components Model (UCM), in which each component of the time series is separately modelled as stochastic. Double-seasonal exponential smoothing and standard Holt-Winters were used to forecast ED arrival for a horizon of 168 hours. The hourly data collected from an ED in Pennsylvania showed no trend and two seasonal cycles: a within-day and a within-week seasonal cycles. The double seasonal model recorded lower RMSEs for all the 168-hour horizons, which was expected due to the strong hourly seasonality of the time series.</w:t>
      </w:r>
    </w:p>
    <w:p w14:paraId="31F885EF" w14:textId="77777777" w:rsidR="009034C6" w:rsidRDefault="00784AE8">
      <w:pPr>
        <w:ind w:left="13" w:right="0"/>
      </w:pPr>
      <w:r>
        <w:t>McCarthy et al. [23] employed a Poisson log-linear regression model, including independent variables such as temporal factors (e.g., hour-of-day, day-of-week, type-of-day, season, and calendar year), patient characteristics (i.e., age, gender, insurance status, triage level, mode of arrival, and ambulance diversion status) and climatic factors (i.e., temperature and precipitation) to model patient demand for ED services. The authors produced probabilistic predictions in the form of 50% and 90% prediction intervals for the number of hourly arrivals. Hourly data of ED arrivals in the 1-year study period was modelled and analysed, and it was suggested that the model could be used for forecasting. However, model evaluation was performed in-sample on only one year of data, so it is unclear how this approach would perform in a forecasting setting or compare to simpler approaches. However, the length of the time series in this study was very short (only one year), which did not allow for a rigorous out-of-sample evaluation.</w:t>
      </w:r>
    </w:p>
    <w:p w14:paraId="2636EB08" w14:textId="77777777" w:rsidR="009034C6" w:rsidRDefault="00784AE8">
      <w:pPr>
        <w:spacing w:after="11" w:line="226" w:lineRule="auto"/>
        <w:ind w:left="13" w:right="0" w:firstLine="296"/>
        <w:jc w:val="left"/>
      </w:pPr>
      <w:proofErr w:type="spellStart"/>
      <w:r>
        <w:t>Schweigler</w:t>
      </w:r>
      <w:proofErr w:type="spellEnd"/>
      <w:r>
        <w:t xml:space="preserve"> et al. [29] investigated whether time series methods could accurately generate short-term forecasts of ED bed occupancy. A year-long dataset of hourly ED bed occupancy was collected from three facilities. The authors implemented an hourly historical average model, SARIMA model, and sinusoidal model with autocorrelated error for each facility. The historical average model was based on the mean occupancy for each site, for each hour of the day, while the sinusoidal model was based on four parameters: an AR term, a sine coefficient, a cosine coefficient and an intercept. They evaluated the forecast accuracy of four and twelve hours forecast horizons using RMSE. They found that both SARIMA and the sinusoidal models outperformed the historical average (for example, at site 2, the two models improved by 33% the 12-hour forecasts generated by the historical average).</w:t>
      </w:r>
    </w:p>
    <w:p w14:paraId="23E35724" w14:textId="77777777" w:rsidR="009034C6" w:rsidRDefault="00784AE8">
      <w:pPr>
        <w:spacing w:after="11" w:line="226" w:lineRule="auto"/>
        <w:ind w:left="13" w:right="0" w:firstLine="296"/>
        <w:jc w:val="left"/>
      </w:pPr>
      <w:r>
        <w:t>Kim et al. [20] compared different univariate and multivariate time series forecasting techniques to predict patient volume for a Hospital Medicine programme. The study evaluated linear regression, exponential smoothing, ARIMA, SARIMA, Generalized Autoregressive Conditional Heteroskedasticity (GARCH) and Vector Autoregressive (VAR) models to forecast for 4 and 24 hours ahead. They used Mean Absolute Percentage Error (MAPE) to report the forecast accuracy. The authors found that the ARIMA outperformed all the other models.</w:t>
      </w:r>
    </w:p>
    <w:p w14:paraId="6392D39F" w14:textId="77777777" w:rsidR="009034C6" w:rsidRDefault="00784AE8">
      <w:pPr>
        <w:ind w:left="322" w:right="0" w:firstLine="0"/>
      </w:pPr>
      <w:r>
        <w:t>Table 1 summarize the relevant papers.</w:t>
      </w:r>
    </w:p>
    <w:p w14:paraId="12CD68E9" w14:textId="77777777" w:rsidR="009034C6" w:rsidRDefault="009034C6">
      <w:pPr>
        <w:sectPr w:rsidR="009034C6">
          <w:footerReference w:type="even" r:id="rId8"/>
          <w:footerReference w:type="default" r:id="rId9"/>
          <w:footerReference w:type="first" r:id="rId10"/>
          <w:pgSz w:w="12240" w:h="15840"/>
          <w:pgMar w:top="1392" w:right="1662" w:bottom="679" w:left="1677" w:header="720" w:footer="720" w:gutter="0"/>
          <w:cols w:space="720"/>
          <w:titlePg/>
        </w:sectPr>
      </w:pPr>
    </w:p>
    <w:p w14:paraId="6D3E6691" w14:textId="77777777" w:rsidR="009034C6" w:rsidRDefault="00784AE8">
      <w:pPr>
        <w:spacing w:after="21" w:line="236" w:lineRule="auto"/>
        <w:ind w:left="3321" w:right="21" w:hanging="10"/>
      </w:pPr>
      <w:r>
        <w:rPr>
          <w:noProof/>
          <w:sz w:val="22"/>
        </w:rPr>
        <w:lastRenderedPageBreak/>
        <mc:AlternateContent>
          <mc:Choice Requires="wpg">
            <w:drawing>
              <wp:anchor distT="0" distB="0" distL="114300" distR="114300" simplePos="0" relativeHeight="251658240" behindDoc="0" locked="0" layoutInCell="1" allowOverlap="1" wp14:anchorId="16AB0415" wp14:editId="39C84730">
                <wp:simplePos x="0" y="0"/>
                <wp:positionH relativeFrom="page">
                  <wp:posOffset>431303</wp:posOffset>
                </wp:positionH>
                <wp:positionV relativeFrom="page">
                  <wp:posOffset>3854564</wp:posOffset>
                </wp:positionV>
                <wp:extent cx="179286" cy="63262"/>
                <wp:effectExtent l="0" t="0" r="0" b="0"/>
                <wp:wrapTopAndBottom/>
                <wp:docPr id="64256" name="Group 64256"/>
                <wp:cNvGraphicFramePr/>
                <a:graphic xmlns:a="http://schemas.openxmlformats.org/drawingml/2006/main">
                  <a:graphicData uri="http://schemas.microsoft.com/office/word/2010/wordprocessingGroup">
                    <wpg:wgp>
                      <wpg:cNvGrpSpPr/>
                      <wpg:grpSpPr>
                        <a:xfrm>
                          <a:off x="0" y="0"/>
                          <a:ext cx="179286" cy="63262"/>
                          <a:chOff x="0" y="0"/>
                          <a:chExt cx="179286" cy="63262"/>
                        </a:xfrm>
                      </wpg:grpSpPr>
                      <wps:wsp>
                        <wps:cNvPr id="289" name="Rectangle 289"/>
                        <wps:cNvSpPr/>
                        <wps:spPr>
                          <a:xfrm rot="5399999">
                            <a:off x="17992" y="-77155"/>
                            <a:ext cx="84139" cy="238450"/>
                          </a:xfrm>
                          <a:prstGeom prst="rect">
                            <a:avLst/>
                          </a:prstGeom>
                          <a:ln>
                            <a:noFill/>
                          </a:ln>
                        </wps:spPr>
                        <wps:txbx>
                          <w:txbxContent>
                            <w:p w14:paraId="5792C21B" w14:textId="77777777" w:rsidR="009034C6" w:rsidRDefault="00784AE8">
                              <w:pPr>
                                <w:spacing w:after="160" w:line="259" w:lineRule="auto"/>
                                <w:ind w:left="0" w:right="0" w:firstLine="0"/>
                                <w:jc w:val="left"/>
                              </w:pPr>
                              <w:r>
                                <w:t>4</w:t>
                              </w:r>
                            </w:p>
                          </w:txbxContent>
                        </wps:txbx>
                        <wps:bodyPr horzOverflow="overflow" vert="horz" lIns="0" tIns="0" rIns="0" bIns="0" rtlCol="0">
                          <a:noAutofit/>
                        </wps:bodyPr>
                      </wps:wsp>
                    </wpg:wgp>
                  </a:graphicData>
                </a:graphic>
              </wp:anchor>
            </w:drawing>
          </mc:Choice>
          <mc:Fallback>
            <w:pict>
              <v:group w14:anchorId="16AB0415" id="Group 64256" o:spid="_x0000_s1026" style="position:absolute;left:0;text-align:left;margin-left:33.95pt;margin-top:303.5pt;width:14.1pt;height:5pt;z-index:251658240;mso-position-horizontal-relative:page;mso-position-vertical-relative:page" coordsize="179286,632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">
                <v:rect id="Rectangle 289" o:spid="_x0000_s1027" style="position:absolute;left:17992;top:-77155;width:84139;height:2384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" filled="f" stroked="f">
                  <v:textbox inset="0,0,0,0">
                    <w:txbxContent>
                      <w:p w14:paraId="5792C21B" w14:textId="77777777" w:rsidR="009034C6" w:rsidRDefault="00784AE8">
                        <w:pPr>
                          <w:spacing w:after="160" w:line="259" w:lineRule="auto"/>
                          <w:ind w:left="0" w:right="0" w:firstLine="0"/>
                          <w:jc w:val="left"/>
                        </w:pPr>
                        <w:r>
                          <w:t>4</w:t>
                        </w:r>
                      </w:p>
                    </w:txbxContent>
                  </v:textbox>
                </v:rect>
                <w10:wrap type="topAndBottom" anchorx="page" anchory="page"/>
              </v:group>
            </w:pict>
          </mc:Fallback>
        </mc:AlternateContent>
      </w:r>
      <w:r>
        <w:rPr>
          <w:sz w:val="16"/>
        </w:rPr>
        <w:t>Table 1: Summary of studies in forecasting hourly arrivals in Emergency Department</w:t>
      </w:r>
    </w:p>
    <w:tbl>
      <w:tblPr>
        <w:tblStyle w:val="TableGrid"/>
        <w:tblW w:w="12943" w:type="dxa"/>
        <w:tblInd w:w="41" w:type="dxa"/>
        <w:tblCellMar>
          <w:top w:w="31" w:type="dxa"/>
          <w:right w:w="114" w:type="dxa"/>
        </w:tblCellMar>
        <w:tblLook w:val="04A0" w:firstRow="1" w:lastRow="0" w:firstColumn="1" w:lastColumn="0" w:noHBand="0" w:noVBand="1"/>
      </w:tblPr>
      <w:tblGrid>
        <w:gridCol w:w="2346"/>
        <w:gridCol w:w="637"/>
        <w:gridCol w:w="1444"/>
        <w:gridCol w:w="1056"/>
        <w:gridCol w:w="848"/>
        <w:gridCol w:w="2279"/>
        <w:gridCol w:w="1863"/>
        <w:gridCol w:w="1356"/>
        <w:gridCol w:w="1114"/>
      </w:tblGrid>
      <w:tr w:rsidR="009034C6" w:rsidRPr="00210A5E" w14:paraId="652CF37E" w14:textId="77777777">
        <w:trPr>
          <w:trHeight w:val="345"/>
        </w:trPr>
        <w:tc>
          <w:tcPr>
            <w:tcW w:w="2346" w:type="dxa"/>
            <w:tcBorders>
              <w:top w:val="single" w:sz="6" w:space="0" w:color="000000"/>
              <w:left w:val="nil"/>
              <w:bottom w:val="single" w:sz="4" w:space="0" w:color="000000"/>
              <w:right w:val="nil"/>
            </w:tcBorders>
          </w:tcPr>
          <w:p w14:paraId="0DF1C429" w14:textId="77777777" w:rsidR="009034C6" w:rsidRPr="00210A5E" w:rsidRDefault="00784AE8">
            <w:pPr>
              <w:spacing w:after="0" w:line="259" w:lineRule="auto"/>
              <w:ind w:left="114" w:right="0" w:firstLine="0"/>
              <w:jc w:val="left"/>
              <w:rPr>
                <w:szCs w:val="20"/>
              </w:rPr>
            </w:pPr>
            <w:r w:rsidRPr="00210A5E">
              <w:rPr>
                <w:szCs w:val="20"/>
              </w:rPr>
              <w:t>Author</w:t>
            </w:r>
          </w:p>
        </w:tc>
        <w:tc>
          <w:tcPr>
            <w:tcW w:w="637" w:type="dxa"/>
            <w:tcBorders>
              <w:top w:val="single" w:sz="6" w:space="0" w:color="000000"/>
              <w:left w:val="nil"/>
              <w:bottom w:val="single" w:sz="4" w:space="0" w:color="000000"/>
              <w:right w:val="nil"/>
            </w:tcBorders>
          </w:tcPr>
          <w:p w14:paraId="0EFF1990" w14:textId="77777777" w:rsidR="009034C6" w:rsidRPr="00210A5E" w:rsidRDefault="00784AE8">
            <w:pPr>
              <w:spacing w:after="0" w:line="259" w:lineRule="auto"/>
              <w:ind w:left="0" w:right="0" w:firstLine="0"/>
              <w:jc w:val="left"/>
              <w:rPr>
                <w:szCs w:val="20"/>
              </w:rPr>
            </w:pPr>
            <w:r w:rsidRPr="00210A5E">
              <w:rPr>
                <w:szCs w:val="20"/>
              </w:rPr>
              <w:t>Year</w:t>
            </w:r>
          </w:p>
        </w:tc>
        <w:tc>
          <w:tcPr>
            <w:tcW w:w="1444" w:type="dxa"/>
            <w:tcBorders>
              <w:top w:val="single" w:sz="6" w:space="0" w:color="000000"/>
              <w:left w:val="nil"/>
              <w:bottom w:val="single" w:sz="4" w:space="0" w:color="000000"/>
              <w:right w:val="nil"/>
            </w:tcBorders>
          </w:tcPr>
          <w:p w14:paraId="6B84536B" w14:textId="77777777" w:rsidR="009034C6" w:rsidRPr="00210A5E" w:rsidRDefault="00784AE8">
            <w:pPr>
              <w:spacing w:after="0" w:line="259" w:lineRule="auto"/>
              <w:ind w:left="0" w:right="0" w:firstLine="0"/>
              <w:jc w:val="left"/>
              <w:rPr>
                <w:szCs w:val="20"/>
              </w:rPr>
            </w:pPr>
            <w:r w:rsidRPr="00210A5E">
              <w:rPr>
                <w:szCs w:val="20"/>
              </w:rPr>
              <w:t>Variable</w:t>
            </w:r>
          </w:p>
        </w:tc>
        <w:tc>
          <w:tcPr>
            <w:tcW w:w="1056" w:type="dxa"/>
            <w:tcBorders>
              <w:top w:val="single" w:sz="6" w:space="0" w:color="000000"/>
              <w:left w:val="nil"/>
              <w:bottom w:val="single" w:sz="4" w:space="0" w:color="000000"/>
              <w:right w:val="nil"/>
            </w:tcBorders>
          </w:tcPr>
          <w:p w14:paraId="4E813338" w14:textId="77777777" w:rsidR="009034C6" w:rsidRPr="00210A5E" w:rsidRDefault="00784AE8">
            <w:pPr>
              <w:spacing w:after="0" w:line="259" w:lineRule="auto"/>
              <w:ind w:left="10" w:right="0" w:firstLine="0"/>
              <w:jc w:val="left"/>
              <w:rPr>
                <w:szCs w:val="20"/>
              </w:rPr>
            </w:pPr>
            <w:r w:rsidRPr="00210A5E">
              <w:rPr>
                <w:szCs w:val="20"/>
              </w:rPr>
              <w:t>Horizon</w:t>
            </w:r>
          </w:p>
        </w:tc>
        <w:tc>
          <w:tcPr>
            <w:tcW w:w="848" w:type="dxa"/>
            <w:tcBorders>
              <w:top w:val="single" w:sz="6" w:space="0" w:color="000000"/>
              <w:left w:val="nil"/>
              <w:bottom w:val="single" w:sz="4" w:space="0" w:color="000000"/>
              <w:right w:val="nil"/>
            </w:tcBorders>
          </w:tcPr>
          <w:p w14:paraId="4D96D538" w14:textId="77777777" w:rsidR="009034C6" w:rsidRPr="00210A5E" w:rsidRDefault="00784AE8">
            <w:pPr>
              <w:spacing w:after="0" w:line="259" w:lineRule="auto"/>
              <w:ind w:left="0" w:right="0" w:firstLine="0"/>
              <w:jc w:val="left"/>
              <w:rPr>
                <w:szCs w:val="20"/>
              </w:rPr>
            </w:pPr>
            <w:r w:rsidRPr="00210A5E">
              <w:rPr>
                <w:szCs w:val="20"/>
              </w:rPr>
              <w:t>Length</w:t>
            </w:r>
          </w:p>
        </w:tc>
        <w:tc>
          <w:tcPr>
            <w:tcW w:w="2279" w:type="dxa"/>
            <w:tcBorders>
              <w:top w:val="single" w:sz="6" w:space="0" w:color="000000"/>
              <w:left w:val="nil"/>
              <w:bottom w:val="single" w:sz="4" w:space="0" w:color="000000"/>
              <w:right w:val="nil"/>
            </w:tcBorders>
          </w:tcPr>
          <w:p w14:paraId="2E7E9212" w14:textId="77777777" w:rsidR="009034C6" w:rsidRPr="00210A5E" w:rsidRDefault="00784AE8">
            <w:pPr>
              <w:spacing w:after="0" w:line="259" w:lineRule="auto"/>
              <w:ind w:left="8" w:right="0" w:firstLine="0"/>
              <w:jc w:val="left"/>
              <w:rPr>
                <w:szCs w:val="20"/>
              </w:rPr>
            </w:pPr>
            <w:r w:rsidRPr="00210A5E">
              <w:rPr>
                <w:szCs w:val="20"/>
              </w:rPr>
              <w:t>Method</w:t>
            </w:r>
          </w:p>
        </w:tc>
        <w:tc>
          <w:tcPr>
            <w:tcW w:w="1863" w:type="dxa"/>
            <w:tcBorders>
              <w:top w:val="single" w:sz="6" w:space="0" w:color="000000"/>
              <w:left w:val="nil"/>
              <w:bottom w:val="single" w:sz="4" w:space="0" w:color="000000"/>
              <w:right w:val="nil"/>
            </w:tcBorders>
          </w:tcPr>
          <w:p w14:paraId="48B69661" w14:textId="77777777" w:rsidR="009034C6" w:rsidRPr="00210A5E" w:rsidRDefault="00784AE8">
            <w:pPr>
              <w:spacing w:after="0" w:line="259" w:lineRule="auto"/>
              <w:ind w:left="0" w:right="0" w:firstLine="0"/>
              <w:jc w:val="left"/>
              <w:rPr>
                <w:szCs w:val="20"/>
              </w:rPr>
            </w:pPr>
            <w:r w:rsidRPr="00210A5E">
              <w:rPr>
                <w:szCs w:val="20"/>
              </w:rPr>
              <w:t>Metric</w:t>
            </w:r>
          </w:p>
        </w:tc>
        <w:tc>
          <w:tcPr>
            <w:tcW w:w="1356" w:type="dxa"/>
            <w:tcBorders>
              <w:top w:val="single" w:sz="6" w:space="0" w:color="000000"/>
              <w:left w:val="nil"/>
              <w:bottom w:val="single" w:sz="4" w:space="0" w:color="000000"/>
              <w:right w:val="nil"/>
            </w:tcBorders>
          </w:tcPr>
          <w:p w14:paraId="1FB3D8EA" w14:textId="77777777" w:rsidR="009034C6" w:rsidRPr="00210A5E" w:rsidRDefault="00784AE8">
            <w:pPr>
              <w:spacing w:after="0" w:line="259" w:lineRule="auto"/>
              <w:ind w:left="0" w:right="0" w:firstLine="0"/>
              <w:jc w:val="left"/>
              <w:rPr>
                <w:szCs w:val="20"/>
              </w:rPr>
            </w:pPr>
            <w:r w:rsidRPr="00210A5E">
              <w:rPr>
                <w:szCs w:val="20"/>
              </w:rPr>
              <w:t>Probabilistic</w:t>
            </w:r>
          </w:p>
        </w:tc>
        <w:tc>
          <w:tcPr>
            <w:tcW w:w="1114" w:type="dxa"/>
            <w:tcBorders>
              <w:top w:val="single" w:sz="6" w:space="0" w:color="000000"/>
              <w:left w:val="nil"/>
              <w:bottom w:val="single" w:sz="4" w:space="0" w:color="000000"/>
              <w:right w:val="nil"/>
            </w:tcBorders>
          </w:tcPr>
          <w:p w14:paraId="51953C09" w14:textId="77777777" w:rsidR="009034C6" w:rsidRPr="00210A5E" w:rsidRDefault="00784AE8">
            <w:pPr>
              <w:spacing w:after="0" w:line="259" w:lineRule="auto"/>
              <w:ind w:left="0" w:right="0" w:firstLine="0"/>
              <w:jc w:val="left"/>
              <w:rPr>
                <w:szCs w:val="20"/>
              </w:rPr>
            </w:pPr>
            <w:r w:rsidRPr="00210A5E">
              <w:rPr>
                <w:szCs w:val="20"/>
              </w:rPr>
              <w:t>Seasonality</w:t>
            </w:r>
          </w:p>
        </w:tc>
      </w:tr>
      <w:tr w:rsidR="009034C6" w:rsidRPr="00210A5E" w14:paraId="1B283A5B" w14:textId="77777777">
        <w:trPr>
          <w:trHeight w:val="796"/>
        </w:trPr>
        <w:tc>
          <w:tcPr>
            <w:tcW w:w="2346" w:type="dxa"/>
            <w:tcBorders>
              <w:top w:val="single" w:sz="4" w:space="0" w:color="000000"/>
              <w:left w:val="nil"/>
              <w:bottom w:val="nil"/>
              <w:right w:val="nil"/>
            </w:tcBorders>
          </w:tcPr>
          <w:p w14:paraId="08861AE5" w14:textId="77777777" w:rsidR="009034C6" w:rsidRPr="00210A5E" w:rsidRDefault="00784AE8">
            <w:pPr>
              <w:spacing w:after="0" w:line="259" w:lineRule="auto"/>
              <w:ind w:left="114" w:right="0" w:firstLine="0"/>
              <w:jc w:val="left"/>
              <w:rPr>
                <w:szCs w:val="20"/>
              </w:rPr>
            </w:pPr>
            <w:r w:rsidRPr="00210A5E">
              <w:rPr>
                <w:szCs w:val="20"/>
              </w:rPr>
              <w:t>Cheng et al.</w:t>
            </w:r>
          </w:p>
        </w:tc>
        <w:tc>
          <w:tcPr>
            <w:tcW w:w="637" w:type="dxa"/>
            <w:tcBorders>
              <w:top w:val="single" w:sz="4" w:space="0" w:color="000000"/>
              <w:left w:val="nil"/>
              <w:bottom w:val="nil"/>
              <w:right w:val="nil"/>
            </w:tcBorders>
          </w:tcPr>
          <w:p w14:paraId="1BC268CF" w14:textId="77777777" w:rsidR="009034C6" w:rsidRPr="00210A5E" w:rsidRDefault="00784AE8">
            <w:pPr>
              <w:spacing w:after="0" w:line="259" w:lineRule="auto"/>
              <w:ind w:left="0" w:right="0" w:firstLine="0"/>
              <w:jc w:val="left"/>
              <w:rPr>
                <w:szCs w:val="20"/>
              </w:rPr>
            </w:pPr>
            <w:r w:rsidRPr="00210A5E">
              <w:rPr>
                <w:szCs w:val="20"/>
              </w:rPr>
              <w:t>2021</w:t>
            </w:r>
          </w:p>
        </w:tc>
        <w:tc>
          <w:tcPr>
            <w:tcW w:w="1444" w:type="dxa"/>
            <w:tcBorders>
              <w:top w:val="single" w:sz="4" w:space="0" w:color="000000"/>
              <w:left w:val="nil"/>
              <w:bottom w:val="nil"/>
              <w:right w:val="nil"/>
            </w:tcBorders>
          </w:tcPr>
          <w:p w14:paraId="0C3B87B9" w14:textId="77777777" w:rsidR="009034C6" w:rsidRPr="00210A5E" w:rsidRDefault="00784AE8">
            <w:pPr>
              <w:spacing w:after="0" w:line="259" w:lineRule="auto"/>
              <w:ind w:left="0" w:right="0" w:firstLine="0"/>
              <w:jc w:val="left"/>
              <w:rPr>
                <w:szCs w:val="20"/>
              </w:rPr>
            </w:pPr>
            <w:r w:rsidRPr="00210A5E">
              <w:rPr>
                <w:szCs w:val="20"/>
              </w:rPr>
              <w:t>ED visits</w:t>
            </w:r>
          </w:p>
        </w:tc>
        <w:tc>
          <w:tcPr>
            <w:tcW w:w="1056" w:type="dxa"/>
            <w:tcBorders>
              <w:top w:val="single" w:sz="4" w:space="0" w:color="000000"/>
              <w:left w:val="nil"/>
              <w:bottom w:val="nil"/>
              <w:right w:val="nil"/>
            </w:tcBorders>
          </w:tcPr>
          <w:p w14:paraId="62D2725C" w14:textId="77777777" w:rsidR="009034C6" w:rsidRPr="00210A5E" w:rsidRDefault="00784AE8">
            <w:pPr>
              <w:spacing w:after="0" w:line="259" w:lineRule="auto"/>
              <w:ind w:left="10" w:right="0" w:firstLine="0"/>
              <w:jc w:val="left"/>
              <w:rPr>
                <w:szCs w:val="20"/>
              </w:rPr>
            </w:pPr>
            <w:r w:rsidRPr="00210A5E">
              <w:rPr>
                <w:szCs w:val="20"/>
              </w:rPr>
              <w:t>1h to 4 h</w:t>
            </w:r>
          </w:p>
        </w:tc>
        <w:tc>
          <w:tcPr>
            <w:tcW w:w="848" w:type="dxa"/>
            <w:tcBorders>
              <w:top w:val="single" w:sz="4" w:space="0" w:color="000000"/>
              <w:left w:val="nil"/>
              <w:bottom w:val="nil"/>
              <w:right w:val="nil"/>
            </w:tcBorders>
          </w:tcPr>
          <w:p w14:paraId="3E7A2F6E" w14:textId="77777777" w:rsidR="009034C6" w:rsidRPr="00210A5E" w:rsidRDefault="00784AE8">
            <w:pPr>
              <w:spacing w:after="0" w:line="259" w:lineRule="auto"/>
              <w:ind w:left="0" w:right="0" w:firstLine="0"/>
              <w:jc w:val="left"/>
              <w:rPr>
                <w:szCs w:val="20"/>
              </w:rPr>
            </w:pPr>
            <w:r w:rsidRPr="00210A5E">
              <w:rPr>
                <w:szCs w:val="20"/>
              </w:rPr>
              <w:t>1 year</w:t>
            </w:r>
          </w:p>
        </w:tc>
        <w:tc>
          <w:tcPr>
            <w:tcW w:w="2279" w:type="dxa"/>
            <w:tcBorders>
              <w:top w:val="single" w:sz="4" w:space="0" w:color="000000"/>
              <w:left w:val="nil"/>
              <w:bottom w:val="nil"/>
              <w:right w:val="nil"/>
            </w:tcBorders>
          </w:tcPr>
          <w:p w14:paraId="707A5A09" w14:textId="77777777" w:rsidR="009034C6" w:rsidRPr="00210A5E" w:rsidRDefault="00784AE8">
            <w:pPr>
              <w:spacing w:after="0" w:line="259" w:lineRule="auto"/>
              <w:ind w:left="8" w:right="0" w:firstLine="0"/>
              <w:jc w:val="left"/>
              <w:rPr>
                <w:szCs w:val="20"/>
              </w:rPr>
            </w:pPr>
            <w:r w:rsidRPr="00210A5E">
              <w:rPr>
                <w:szCs w:val="20"/>
              </w:rPr>
              <w:t>SARIMAX,</w:t>
            </w:r>
          </w:p>
          <w:p w14:paraId="20DD0BA0" w14:textId="77777777" w:rsidR="009034C6" w:rsidRPr="00210A5E" w:rsidRDefault="00784AE8">
            <w:pPr>
              <w:spacing w:after="0" w:line="259" w:lineRule="auto"/>
              <w:ind w:left="8" w:right="0" w:firstLine="0"/>
              <w:jc w:val="left"/>
              <w:rPr>
                <w:szCs w:val="20"/>
              </w:rPr>
            </w:pPr>
            <w:r w:rsidRPr="00210A5E">
              <w:rPr>
                <w:szCs w:val="20"/>
              </w:rPr>
              <w:t>Holt-Winters, VAR,</w:t>
            </w:r>
          </w:p>
          <w:p w14:paraId="5B13B272" w14:textId="77777777" w:rsidR="009034C6" w:rsidRPr="00210A5E" w:rsidRDefault="00784AE8">
            <w:pPr>
              <w:spacing w:after="0" w:line="259" w:lineRule="auto"/>
              <w:ind w:left="0" w:right="0" w:firstLine="0"/>
              <w:jc w:val="left"/>
              <w:rPr>
                <w:szCs w:val="20"/>
              </w:rPr>
            </w:pPr>
            <w:r w:rsidRPr="00210A5E">
              <w:rPr>
                <w:szCs w:val="20"/>
              </w:rPr>
              <w:t>ARIMA</w:t>
            </w:r>
          </w:p>
        </w:tc>
        <w:tc>
          <w:tcPr>
            <w:tcW w:w="1863" w:type="dxa"/>
            <w:tcBorders>
              <w:top w:val="single" w:sz="4" w:space="0" w:color="000000"/>
              <w:left w:val="nil"/>
              <w:bottom w:val="nil"/>
              <w:right w:val="nil"/>
            </w:tcBorders>
          </w:tcPr>
          <w:p w14:paraId="1DB19788" w14:textId="77777777" w:rsidR="009034C6" w:rsidRPr="00210A5E" w:rsidRDefault="00784AE8">
            <w:pPr>
              <w:spacing w:after="0" w:line="259" w:lineRule="auto"/>
              <w:ind w:left="0" w:right="0" w:firstLine="0"/>
              <w:jc w:val="left"/>
              <w:rPr>
                <w:szCs w:val="20"/>
              </w:rPr>
            </w:pPr>
            <w:r w:rsidRPr="00210A5E">
              <w:rPr>
                <w:szCs w:val="20"/>
              </w:rPr>
              <w:t>MSE, MAE,</w:t>
            </w:r>
          </w:p>
          <w:p w14:paraId="410F0743" w14:textId="77777777" w:rsidR="009034C6" w:rsidRPr="00210A5E" w:rsidRDefault="00784AE8">
            <w:pPr>
              <w:spacing w:after="0" w:line="259" w:lineRule="auto"/>
              <w:ind w:left="0" w:right="0" w:firstLine="0"/>
              <w:jc w:val="left"/>
              <w:rPr>
                <w:szCs w:val="20"/>
              </w:rPr>
            </w:pPr>
            <w:r w:rsidRPr="00210A5E">
              <w:rPr>
                <w:szCs w:val="20"/>
              </w:rPr>
              <w:t>MAPE, Prediction interval coverage</w:t>
            </w:r>
          </w:p>
        </w:tc>
        <w:tc>
          <w:tcPr>
            <w:tcW w:w="1356" w:type="dxa"/>
            <w:tcBorders>
              <w:top w:val="single" w:sz="4" w:space="0" w:color="000000"/>
              <w:left w:val="nil"/>
              <w:bottom w:val="nil"/>
              <w:right w:val="nil"/>
            </w:tcBorders>
          </w:tcPr>
          <w:p w14:paraId="78965A6C" w14:textId="77777777" w:rsidR="009034C6" w:rsidRPr="00210A5E" w:rsidRDefault="00784AE8">
            <w:pPr>
              <w:spacing w:after="0" w:line="259" w:lineRule="auto"/>
              <w:ind w:left="0" w:right="0" w:firstLine="0"/>
              <w:jc w:val="left"/>
              <w:rPr>
                <w:szCs w:val="20"/>
              </w:rPr>
            </w:pPr>
            <w:r w:rsidRPr="00210A5E">
              <w:rPr>
                <w:szCs w:val="20"/>
              </w:rPr>
              <w:t>NO</w:t>
            </w:r>
          </w:p>
        </w:tc>
        <w:tc>
          <w:tcPr>
            <w:tcW w:w="1114" w:type="dxa"/>
            <w:tcBorders>
              <w:top w:val="single" w:sz="4" w:space="0" w:color="000000"/>
              <w:left w:val="nil"/>
              <w:bottom w:val="nil"/>
              <w:right w:val="nil"/>
            </w:tcBorders>
          </w:tcPr>
          <w:p w14:paraId="3B17CD35" w14:textId="77777777" w:rsidR="009034C6" w:rsidRPr="00210A5E" w:rsidRDefault="00784AE8">
            <w:pPr>
              <w:spacing w:after="0" w:line="259" w:lineRule="auto"/>
              <w:ind w:left="0" w:right="0" w:firstLine="0"/>
              <w:jc w:val="left"/>
              <w:rPr>
                <w:szCs w:val="20"/>
              </w:rPr>
            </w:pPr>
            <w:r w:rsidRPr="00210A5E">
              <w:rPr>
                <w:szCs w:val="20"/>
              </w:rPr>
              <w:t>Single</w:t>
            </w:r>
          </w:p>
        </w:tc>
      </w:tr>
      <w:tr w:rsidR="009034C6" w:rsidRPr="00210A5E" w14:paraId="07FF7BE5" w14:textId="77777777">
        <w:trPr>
          <w:trHeight w:val="493"/>
        </w:trPr>
        <w:tc>
          <w:tcPr>
            <w:tcW w:w="2346" w:type="dxa"/>
            <w:tcBorders>
              <w:top w:val="nil"/>
              <w:left w:val="nil"/>
              <w:bottom w:val="nil"/>
              <w:right w:val="nil"/>
            </w:tcBorders>
          </w:tcPr>
          <w:p w14:paraId="71536F33" w14:textId="77777777" w:rsidR="009034C6" w:rsidRPr="00210A5E" w:rsidRDefault="00784AE8">
            <w:pPr>
              <w:spacing w:after="0" w:line="259" w:lineRule="auto"/>
              <w:ind w:left="114" w:right="0" w:firstLine="0"/>
              <w:jc w:val="left"/>
              <w:rPr>
                <w:szCs w:val="20"/>
              </w:rPr>
            </w:pPr>
            <w:r w:rsidRPr="00210A5E">
              <w:rPr>
                <w:szCs w:val="20"/>
              </w:rPr>
              <w:t>Choudhury and Urena</w:t>
            </w:r>
          </w:p>
        </w:tc>
        <w:tc>
          <w:tcPr>
            <w:tcW w:w="637" w:type="dxa"/>
            <w:tcBorders>
              <w:top w:val="nil"/>
              <w:left w:val="nil"/>
              <w:bottom w:val="nil"/>
              <w:right w:val="nil"/>
            </w:tcBorders>
          </w:tcPr>
          <w:p w14:paraId="28DDF5EF" w14:textId="77777777" w:rsidR="009034C6" w:rsidRPr="00210A5E" w:rsidRDefault="00784AE8">
            <w:pPr>
              <w:spacing w:after="0" w:line="259" w:lineRule="auto"/>
              <w:ind w:left="0" w:right="0" w:firstLine="0"/>
              <w:jc w:val="left"/>
              <w:rPr>
                <w:szCs w:val="20"/>
              </w:rPr>
            </w:pPr>
            <w:r w:rsidRPr="00210A5E">
              <w:rPr>
                <w:szCs w:val="20"/>
              </w:rPr>
              <w:t>2020</w:t>
            </w:r>
          </w:p>
        </w:tc>
        <w:tc>
          <w:tcPr>
            <w:tcW w:w="1444" w:type="dxa"/>
            <w:tcBorders>
              <w:top w:val="nil"/>
              <w:left w:val="nil"/>
              <w:bottom w:val="nil"/>
              <w:right w:val="nil"/>
            </w:tcBorders>
          </w:tcPr>
          <w:p w14:paraId="663095C8" w14:textId="77777777" w:rsidR="009034C6" w:rsidRPr="00210A5E" w:rsidRDefault="00784AE8">
            <w:pPr>
              <w:spacing w:after="0" w:line="259" w:lineRule="auto"/>
              <w:ind w:left="0" w:right="0" w:firstLine="0"/>
              <w:jc w:val="left"/>
              <w:rPr>
                <w:szCs w:val="20"/>
              </w:rPr>
            </w:pPr>
            <w:r w:rsidRPr="00210A5E">
              <w:rPr>
                <w:szCs w:val="20"/>
              </w:rPr>
              <w:t>ED arrivals</w:t>
            </w:r>
          </w:p>
        </w:tc>
        <w:tc>
          <w:tcPr>
            <w:tcW w:w="1056" w:type="dxa"/>
            <w:tcBorders>
              <w:top w:val="nil"/>
              <w:left w:val="nil"/>
              <w:bottom w:val="nil"/>
              <w:right w:val="nil"/>
            </w:tcBorders>
          </w:tcPr>
          <w:p w14:paraId="70EF1031" w14:textId="77777777" w:rsidR="009034C6" w:rsidRPr="00210A5E" w:rsidRDefault="00784AE8">
            <w:pPr>
              <w:spacing w:after="0" w:line="259" w:lineRule="auto"/>
              <w:ind w:left="10" w:right="0" w:firstLine="0"/>
              <w:jc w:val="left"/>
              <w:rPr>
                <w:szCs w:val="20"/>
              </w:rPr>
            </w:pPr>
            <w:r w:rsidRPr="00210A5E">
              <w:rPr>
                <w:szCs w:val="20"/>
              </w:rPr>
              <w:t>1h to</w:t>
            </w:r>
          </w:p>
          <w:p w14:paraId="1E4D0F47" w14:textId="77777777" w:rsidR="009034C6" w:rsidRPr="00210A5E" w:rsidRDefault="00784AE8">
            <w:pPr>
              <w:spacing w:after="0" w:line="259" w:lineRule="auto"/>
              <w:ind w:left="5" w:right="0" w:firstLine="0"/>
              <w:jc w:val="left"/>
              <w:rPr>
                <w:szCs w:val="20"/>
              </w:rPr>
            </w:pPr>
            <w:r w:rsidRPr="00210A5E">
              <w:rPr>
                <w:szCs w:val="20"/>
              </w:rPr>
              <w:t>24h</w:t>
            </w:r>
          </w:p>
        </w:tc>
        <w:tc>
          <w:tcPr>
            <w:tcW w:w="848" w:type="dxa"/>
            <w:tcBorders>
              <w:top w:val="nil"/>
              <w:left w:val="nil"/>
              <w:bottom w:val="nil"/>
              <w:right w:val="nil"/>
            </w:tcBorders>
          </w:tcPr>
          <w:p w14:paraId="0D4FEACA" w14:textId="77777777" w:rsidR="009034C6" w:rsidRPr="00210A5E" w:rsidRDefault="00784AE8">
            <w:pPr>
              <w:spacing w:after="0" w:line="259" w:lineRule="auto"/>
              <w:ind w:left="0" w:right="0" w:firstLine="0"/>
              <w:jc w:val="left"/>
              <w:rPr>
                <w:szCs w:val="20"/>
              </w:rPr>
            </w:pPr>
            <w:r w:rsidRPr="00210A5E">
              <w:rPr>
                <w:szCs w:val="20"/>
              </w:rPr>
              <w:t>4 years</w:t>
            </w:r>
          </w:p>
        </w:tc>
        <w:tc>
          <w:tcPr>
            <w:tcW w:w="2279" w:type="dxa"/>
            <w:tcBorders>
              <w:top w:val="nil"/>
              <w:left w:val="nil"/>
              <w:bottom w:val="nil"/>
              <w:right w:val="nil"/>
            </w:tcBorders>
          </w:tcPr>
          <w:p w14:paraId="4DEF129C" w14:textId="77777777" w:rsidR="009034C6" w:rsidRPr="00210A5E" w:rsidRDefault="00784AE8">
            <w:pPr>
              <w:spacing w:after="0" w:line="259" w:lineRule="auto"/>
              <w:ind w:left="8" w:right="0" w:firstLine="0"/>
              <w:jc w:val="left"/>
              <w:rPr>
                <w:szCs w:val="20"/>
              </w:rPr>
            </w:pPr>
            <w:r w:rsidRPr="00210A5E">
              <w:rPr>
                <w:szCs w:val="20"/>
              </w:rPr>
              <w:t>ARIMA; Holt-winters;</w:t>
            </w:r>
          </w:p>
          <w:p w14:paraId="67A9D298" w14:textId="77777777" w:rsidR="009034C6" w:rsidRPr="00210A5E" w:rsidRDefault="00784AE8">
            <w:pPr>
              <w:spacing w:after="0" w:line="259" w:lineRule="auto"/>
              <w:ind w:left="0" w:right="0" w:firstLine="0"/>
              <w:jc w:val="left"/>
              <w:rPr>
                <w:szCs w:val="20"/>
              </w:rPr>
            </w:pPr>
            <w:r w:rsidRPr="00210A5E">
              <w:rPr>
                <w:szCs w:val="20"/>
              </w:rPr>
              <w:t>TBATS; ANN</w:t>
            </w:r>
          </w:p>
        </w:tc>
        <w:tc>
          <w:tcPr>
            <w:tcW w:w="1863" w:type="dxa"/>
            <w:tcBorders>
              <w:top w:val="nil"/>
              <w:left w:val="nil"/>
              <w:bottom w:val="nil"/>
              <w:right w:val="nil"/>
            </w:tcBorders>
          </w:tcPr>
          <w:p w14:paraId="79010EF2" w14:textId="77777777" w:rsidR="009034C6" w:rsidRPr="00210A5E" w:rsidRDefault="00784AE8">
            <w:pPr>
              <w:spacing w:after="0" w:line="259" w:lineRule="auto"/>
              <w:ind w:left="0" w:right="0" w:firstLine="0"/>
              <w:jc w:val="left"/>
              <w:rPr>
                <w:szCs w:val="20"/>
              </w:rPr>
            </w:pPr>
            <w:r w:rsidRPr="00210A5E">
              <w:rPr>
                <w:szCs w:val="20"/>
              </w:rPr>
              <w:t>RMSE, ME</w:t>
            </w:r>
          </w:p>
        </w:tc>
        <w:tc>
          <w:tcPr>
            <w:tcW w:w="1356" w:type="dxa"/>
            <w:tcBorders>
              <w:top w:val="nil"/>
              <w:left w:val="nil"/>
              <w:bottom w:val="nil"/>
              <w:right w:val="nil"/>
            </w:tcBorders>
          </w:tcPr>
          <w:p w14:paraId="38A7522D" w14:textId="77777777" w:rsidR="009034C6" w:rsidRPr="00210A5E" w:rsidRDefault="00784AE8">
            <w:pPr>
              <w:spacing w:after="0" w:line="259" w:lineRule="auto"/>
              <w:ind w:left="0" w:right="0" w:firstLine="0"/>
              <w:jc w:val="left"/>
              <w:rPr>
                <w:szCs w:val="20"/>
              </w:rPr>
            </w:pPr>
            <w:r w:rsidRPr="00210A5E">
              <w:rPr>
                <w:szCs w:val="20"/>
              </w:rPr>
              <w:t>No</w:t>
            </w:r>
          </w:p>
        </w:tc>
        <w:tc>
          <w:tcPr>
            <w:tcW w:w="1114" w:type="dxa"/>
            <w:tcBorders>
              <w:top w:val="nil"/>
              <w:left w:val="nil"/>
              <w:bottom w:val="nil"/>
              <w:right w:val="nil"/>
            </w:tcBorders>
          </w:tcPr>
          <w:p w14:paraId="0608505C" w14:textId="77777777" w:rsidR="009034C6" w:rsidRPr="00210A5E" w:rsidRDefault="00784AE8">
            <w:pPr>
              <w:spacing w:after="0" w:line="259" w:lineRule="auto"/>
              <w:ind w:left="0" w:right="0" w:firstLine="0"/>
              <w:jc w:val="left"/>
              <w:rPr>
                <w:szCs w:val="20"/>
              </w:rPr>
            </w:pPr>
            <w:r w:rsidRPr="00210A5E">
              <w:rPr>
                <w:szCs w:val="20"/>
              </w:rPr>
              <w:t>Multiple</w:t>
            </w:r>
          </w:p>
        </w:tc>
      </w:tr>
      <w:tr w:rsidR="009034C6" w:rsidRPr="00210A5E" w14:paraId="0BA03E85" w14:textId="77777777">
        <w:trPr>
          <w:trHeight w:val="247"/>
        </w:trPr>
        <w:tc>
          <w:tcPr>
            <w:tcW w:w="2346" w:type="dxa"/>
            <w:tcBorders>
              <w:top w:val="nil"/>
              <w:left w:val="nil"/>
              <w:bottom w:val="nil"/>
              <w:right w:val="nil"/>
            </w:tcBorders>
          </w:tcPr>
          <w:p w14:paraId="6F40A295" w14:textId="77777777" w:rsidR="009034C6" w:rsidRPr="00210A5E" w:rsidRDefault="00784AE8">
            <w:pPr>
              <w:spacing w:after="0" w:line="259" w:lineRule="auto"/>
              <w:ind w:left="114" w:right="0" w:firstLine="0"/>
              <w:jc w:val="left"/>
              <w:rPr>
                <w:szCs w:val="20"/>
              </w:rPr>
            </w:pPr>
            <w:r w:rsidRPr="00210A5E">
              <w:rPr>
                <w:szCs w:val="20"/>
              </w:rPr>
              <w:t>Asheim et al.</w:t>
            </w:r>
          </w:p>
        </w:tc>
        <w:tc>
          <w:tcPr>
            <w:tcW w:w="637" w:type="dxa"/>
            <w:tcBorders>
              <w:top w:val="nil"/>
              <w:left w:val="nil"/>
              <w:bottom w:val="nil"/>
              <w:right w:val="nil"/>
            </w:tcBorders>
          </w:tcPr>
          <w:p w14:paraId="1DAA1648" w14:textId="77777777" w:rsidR="009034C6" w:rsidRPr="00210A5E" w:rsidRDefault="00784AE8">
            <w:pPr>
              <w:spacing w:after="0" w:line="259" w:lineRule="auto"/>
              <w:ind w:left="0" w:right="0" w:firstLine="0"/>
              <w:jc w:val="left"/>
              <w:rPr>
                <w:szCs w:val="20"/>
              </w:rPr>
            </w:pPr>
            <w:r w:rsidRPr="00210A5E">
              <w:rPr>
                <w:szCs w:val="20"/>
              </w:rPr>
              <w:t>2019</w:t>
            </w:r>
          </w:p>
        </w:tc>
        <w:tc>
          <w:tcPr>
            <w:tcW w:w="1444" w:type="dxa"/>
            <w:tcBorders>
              <w:top w:val="nil"/>
              <w:left w:val="nil"/>
              <w:bottom w:val="nil"/>
              <w:right w:val="nil"/>
            </w:tcBorders>
          </w:tcPr>
          <w:p w14:paraId="21258E37" w14:textId="77777777" w:rsidR="009034C6" w:rsidRPr="00210A5E" w:rsidRDefault="00784AE8">
            <w:pPr>
              <w:spacing w:after="0" w:line="259" w:lineRule="auto"/>
              <w:ind w:left="0" w:right="0" w:firstLine="0"/>
              <w:jc w:val="left"/>
              <w:rPr>
                <w:szCs w:val="20"/>
              </w:rPr>
            </w:pPr>
            <w:r w:rsidRPr="00210A5E">
              <w:rPr>
                <w:szCs w:val="20"/>
              </w:rPr>
              <w:t>ED arrivals</w:t>
            </w:r>
          </w:p>
        </w:tc>
        <w:tc>
          <w:tcPr>
            <w:tcW w:w="1056" w:type="dxa"/>
            <w:tcBorders>
              <w:top w:val="nil"/>
              <w:left w:val="nil"/>
              <w:bottom w:val="nil"/>
              <w:right w:val="nil"/>
            </w:tcBorders>
          </w:tcPr>
          <w:p w14:paraId="38CDA774" w14:textId="77777777" w:rsidR="009034C6" w:rsidRPr="00210A5E" w:rsidRDefault="00784AE8">
            <w:pPr>
              <w:spacing w:after="0" w:line="259" w:lineRule="auto"/>
              <w:ind w:left="10" w:right="0" w:firstLine="0"/>
              <w:jc w:val="left"/>
              <w:rPr>
                <w:szCs w:val="20"/>
              </w:rPr>
            </w:pPr>
            <w:r w:rsidRPr="00210A5E">
              <w:rPr>
                <w:szCs w:val="20"/>
              </w:rPr>
              <w:t>3h</w:t>
            </w:r>
          </w:p>
        </w:tc>
        <w:tc>
          <w:tcPr>
            <w:tcW w:w="848" w:type="dxa"/>
            <w:tcBorders>
              <w:top w:val="nil"/>
              <w:left w:val="nil"/>
              <w:bottom w:val="nil"/>
              <w:right w:val="nil"/>
            </w:tcBorders>
          </w:tcPr>
          <w:p w14:paraId="449DCDF4" w14:textId="77777777" w:rsidR="009034C6" w:rsidRPr="00210A5E" w:rsidRDefault="00784AE8">
            <w:pPr>
              <w:spacing w:after="0" w:line="259" w:lineRule="auto"/>
              <w:ind w:left="0" w:right="0" w:firstLine="0"/>
              <w:jc w:val="left"/>
              <w:rPr>
                <w:szCs w:val="20"/>
              </w:rPr>
            </w:pPr>
            <w:r w:rsidRPr="00210A5E">
              <w:rPr>
                <w:szCs w:val="20"/>
              </w:rPr>
              <w:t>5 years</w:t>
            </w:r>
          </w:p>
        </w:tc>
        <w:tc>
          <w:tcPr>
            <w:tcW w:w="2279" w:type="dxa"/>
            <w:tcBorders>
              <w:top w:val="nil"/>
              <w:left w:val="nil"/>
              <w:bottom w:val="nil"/>
              <w:right w:val="nil"/>
            </w:tcBorders>
          </w:tcPr>
          <w:p w14:paraId="74F2E80C" w14:textId="77777777" w:rsidR="009034C6" w:rsidRPr="00210A5E" w:rsidRDefault="00784AE8">
            <w:pPr>
              <w:spacing w:after="0" w:line="259" w:lineRule="auto"/>
              <w:ind w:left="8" w:right="0" w:firstLine="0"/>
              <w:jc w:val="left"/>
              <w:rPr>
                <w:szCs w:val="20"/>
              </w:rPr>
            </w:pPr>
            <w:r w:rsidRPr="00210A5E">
              <w:rPr>
                <w:szCs w:val="20"/>
              </w:rPr>
              <w:t>Poisson regression</w:t>
            </w:r>
          </w:p>
        </w:tc>
        <w:tc>
          <w:tcPr>
            <w:tcW w:w="1863" w:type="dxa"/>
            <w:tcBorders>
              <w:top w:val="nil"/>
              <w:left w:val="nil"/>
              <w:bottom w:val="nil"/>
              <w:right w:val="nil"/>
            </w:tcBorders>
          </w:tcPr>
          <w:p w14:paraId="25BD0F78" w14:textId="77777777" w:rsidR="009034C6" w:rsidRPr="00210A5E" w:rsidRDefault="00784AE8">
            <w:pPr>
              <w:spacing w:after="0" w:line="259" w:lineRule="auto"/>
              <w:ind w:left="0" w:right="0" w:firstLine="0"/>
              <w:jc w:val="left"/>
              <w:rPr>
                <w:szCs w:val="20"/>
              </w:rPr>
            </w:pPr>
            <w:r w:rsidRPr="00210A5E">
              <w:rPr>
                <w:szCs w:val="20"/>
              </w:rPr>
              <w:t>MAPE</w:t>
            </w:r>
          </w:p>
        </w:tc>
        <w:tc>
          <w:tcPr>
            <w:tcW w:w="1356" w:type="dxa"/>
            <w:tcBorders>
              <w:top w:val="nil"/>
              <w:left w:val="nil"/>
              <w:bottom w:val="nil"/>
              <w:right w:val="nil"/>
            </w:tcBorders>
          </w:tcPr>
          <w:p w14:paraId="610732DA" w14:textId="77777777" w:rsidR="009034C6" w:rsidRPr="00210A5E" w:rsidRDefault="00784AE8">
            <w:pPr>
              <w:spacing w:after="0" w:line="259" w:lineRule="auto"/>
              <w:ind w:left="0" w:right="0" w:firstLine="0"/>
              <w:jc w:val="left"/>
              <w:rPr>
                <w:szCs w:val="20"/>
              </w:rPr>
            </w:pPr>
            <w:r w:rsidRPr="00210A5E">
              <w:rPr>
                <w:szCs w:val="20"/>
              </w:rPr>
              <w:t>No</w:t>
            </w:r>
          </w:p>
        </w:tc>
        <w:tc>
          <w:tcPr>
            <w:tcW w:w="1114" w:type="dxa"/>
            <w:tcBorders>
              <w:top w:val="nil"/>
              <w:left w:val="nil"/>
              <w:bottom w:val="nil"/>
              <w:right w:val="nil"/>
            </w:tcBorders>
          </w:tcPr>
          <w:p w14:paraId="6C36C13D" w14:textId="77777777" w:rsidR="009034C6" w:rsidRPr="00210A5E" w:rsidRDefault="00784AE8">
            <w:pPr>
              <w:spacing w:after="0" w:line="259" w:lineRule="auto"/>
              <w:ind w:left="0" w:right="0" w:firstLine="0"/>
              <w:jc w:val="left"/>
              <w:rPr>
                <w:szCs w:val="20"/>
              </w:rPr>
            </w:pPr>
            <w:r w:rsidRPr="00210A5E">
              <w:rPr>
                <w:szCs w:val="20"/>
              </w:rPr>
              <w:t>Single</w:t>
            </w:r>
          </w:p>
        </w:tc>
      </w:tr>
      <w:tr w:rsidR="009034C6" w:rsidRPr="00210A5E" w14:paraId="4A3D89F2" w14:textId="77777777">
        <w:trPr>
          <w:trHeight w:val="493"/>
        </w:trPr>
        <w:tc>
          <w:tcPr>
            <w:tcW w:w="2346" w:type="dxa"/>
            <w:tcBorders>
              <w:top w:val="nil"/>
              <w:left w:val="nil"/>
              <w:bottom w:val="nil"/>
              <w:right w:val="nil"/>
            </w:tcBorders>
          </w:tcPr>
          <w:p w14:paraId="1D8B2373" w14:textId="77777777" w:rsidR="009034C6" w:rsidRPr="00210A5E" w:rsidRDefault="00784AE8">
            <w:pPr>
              <w:spacing w:after="0" w:line="259" w:lineRule="auto"/>
              <w:ind w:left="114" w:right="0" w:firstLine="0"/>
              <w:jc w:val="left"/>
              <w:rPr>
                <w:szCs w:val="20"/>
              </w:rPr>
            </w:pPr>
            <w:proofErr w:type="spellStart"/>
            <w:r w:rsidRPr="00210A5E">
              <w:rPr>
                <w:szCs w:val="20"/>
              </w:rPr>
              <w:t>Hertzum</w:t>
            </w:r>
            <w:proofErr w:type="spellEnd"/>
          </w:p>
        </w:tc>
        <w:tc>
          <w:tcPr>
            <w:tcW w:w="637" w:type="dxa"/>
            <w:tcBorders>
              <w:top w:val="nil"/>
              <w:left w:val="nil"/>
              <w:bottom w:val="nil"/>
              <w:right w:val="nil"/>
            </w:tcBorders>
          </w:tcPr>
          <w:p w14:paraId="7DDBAFEA" w14:textId="77777777" w:rsidR="009034C6" w:rsidRPr="00210A5E" w:rsidRDefault="00784AE8">
            <w:pPr>
              <w:spacing w:after="0" w:line="259" w:lineRule="auto"/>
              <w:ind w:left="0" w:right="0" w:firstLine="0"/>
              <w:jc w:val="left"/>
              <w:rPr>
                <w:szCs w:val="20"/>
              </w:rPr>
            </w:pPr>
            <w:r w:rsidRPr="00210A5E">
              <w:rPr>
                <w:szCs w:val="20"/>
              </w:rPr>
              <w:t>2017</w:t>
            </w:r>
          </w:p>
        </w:tc>
        <w:tc>
          <w:tcPr>
            <w:tcW w:w="1444" w:type="dxa"/>
            <w:tcBorders>
              <w:top w:val="nil"/>
              <w:left w:val="nil"/>
              <w:bottom w:val="nil"/>
              <w:right w:val="nil"/>
            </w:tcBorders>
          </w:tcPr>
          <w:p w14:paraId="6FF8AC99" w14:textId="77777777" w:rsidR="009034C6" w:rsidRPr="00210A5E" w:rsidRDefault="00784AE8">
            <w:pPr>
              <w:spacing w:after="0" w:line="259" w:lineRule="auto"/>
              <w:ind w:left="0" w:right="0" w:firstLine="0"/>
              <w:jc w:val="left"/>
              <w:rPr>
                <w:szCs w:val="20"/>
              </w:rPr>
            </w:pPr>
            <w:r w:rsidRPr="00210A5E">
              <w:rPr>
                <w:szCs w:val="20"/>
              </w:rPr>
              <w:t>ED arrivals</w:t>
            </w:r>
          </w:p>
        </w:tc>
        <w:tc>
          <w:tcPr>
            <w:tcW w:w="1056" w:type="dxa"/>
            <w:tcBorders>
              <w:top w:val="nil"/>
              <w:left w:val="nil"/>
              <w:bottom w:val="nil"/>
              <w:right w:val="nil"/>
            </w:tcBorders>
          </w:tcPr>
          <w:p w14:paraId="32026EE1" w14:textId="77777777" w:rsidR="009034C6" w:rsidRPr="00210A5E" w:rsidRDefault="00784AE8">
            <w:pPr>
              <w:spacing w:after="0" w:line="259" w:lineRule="auto"/>
              <w:ind w:left="10" w:right="0" w:firstLine="0"/>
              <w:jc w:val="left"/>
              <w:rPr>
                <w:szCs w:val="20"/>
              </w:rPr>
            </w:pPr>
            <w:r w:rsidRPr="00210A5E">
              <w:rPr>
                <w:szCs w:val="20"/>
              </w:rPr>
              <w:t>1,2,4,8,24</w:t>
            </w:r>
          </w:p>
          <w:p w14:paraId="22648CF9" w14:textId="77777777" w:rsidR="009034C6" w:rsidRPr="00210A5E" w:rsidRDefault="00784AE8">
            <w:pPr>
              <w:spacing w:after="0" w:line="259" w:lineRule="auto"/>
              <w:ind w:left="10" w:right="0" w:firstLine="0"/>
              <w:jc w:val="left"/>
              <w:rPr>
                <w:szCs w:val="20"/>
              </w:rPr>
            </w:pPr>
            <w:r w:rsidRPr="00210A5E">
              <w:rPr>
                <w:szCs w:val="20"/>
              </w:rPr>
              <w:t>h</w:t>
            </w:r>
          </w:p>
        </w:tc>
        <w:tc>
          <w:tcPr>
            <w:tcW w:w="848" w:type="dxa"/>
            <w:tcBorders>
              <w:top w:val="nil"/>
              <w:left w:val="nil"/>
              <w:bottom w:val="nil"/>
              <w:right w:val="nil"/>
            </w:tcBorders>
          </w:tcPr>
          <w:p w14:paraId="06810121" w14:textId="77777777" w:rsidR="009034C6" w:rsidRPr="00210A5E" w:rsidRDefault="00784AE8">
            <w:pPr>
              <w:spacing w:after="0" w:line="259" w:lineRule="auto"/>
              <w:ind w:left="0" w:right="0" w:firstLine="0"/>
              <w:jc w:val="left"/>
              <w:rPr>
                <w:szCs w:val="20"/>
              </w:rPr>
            </w:pPr>
            <w:r w:rsidRPr="00210A5E">
              <w:rPr>
                <w:szCs w:val="20"/>
              </w:rPr>
              <w:t>3 years</w:t>
            </w:r>
          </w:p>
        </w:tc>
        <w:tc>
          <w:tcPr>
            <w:tcW w:w="2279" w:type="dxa"/>
            <w:tcBorders>
              <w:top w:val="nil"/>
              <w:left w:val="nil"/>
              <w:bottom w:val="nil"/>
              <w:right w:val="nil"/>
            </w:tcBorders>
          </w:tcPr>
          <w:p w14:paraId="1E150C35" w14:textId="77777777" w:rsidR="009034C6" w:rsidRPr="00210A5E" w:rsidRDefault="00784AE8">
            <w:pPr>
              <w:spacing w:after="0" w:line="259" w:lineRule="auto"/>
              <w:ind w:left="8" w:right="0" w:firstLine="0"/>
              <w:jc w:val="left"/>
              <w:rPr>
                <w:szCs w:val="20"/>
              </w:rPr>
            </w:pPr>
            <w:r w:rsidRPr="00210A5E">
              <w:rPr>
                <w:szCs w:val="20"/>
              </w:rPr>
              <w:t>linear regression;</w:t>
            </w:r>
          </w:p>
          <w:p w14:paraId="28821017" w14:textId="77777777" w:rsidR="009034C6" w:rsidRPr="00210A5E" w:rsidRDefault="00784AE8">
            <w:pPr>
              <w:spacing w:after="0" w:line="259" w:lineRule="auto"/>
              <w:ind w:left="8" w:right="0" w:firstLine="0"/>
              <w:jc w:val="left"/>
              <w:rPr>
                <w:szCs w:val="20"/>
              </w:rPr>
            </w:pPr>
            <w:r w:rsidRPr="00210A5E">
              <w:rPr>
                <w:szCs w:val="20"/>
              </w:rPr>
              <w:t>SARIMA; Naïve</w:t>
            </w:r>
          </w:p>
        </w:tc>
        <w:tc>
          <w:tcPr>
            <w:tcW w:w="1863" w:type="dxa"/>
            <w:tcBorders>
              <w:top w:val="nil"/>
              <w:left w:val="nil"/>
              <w:bottom w:val="nil"/>
              <w:right w:val="nil"/>
            </w:tcBorders>
          </w:tcPr>
          <w:p w14:paraId="20B01D19" w14:textId="77777777" w:rsidR="009034C6" w:rsidRPr="00210A5E" w:rsidRDefault="00784AE8">
            <w:pPr>
              <w:spacing w:after="0" w:line="259" w:lineRule="auto"/>
              <w:ind w:left="0" w:right="0" w:firstLine="0"/>
              <w:jc w:val="left"/>
              <w:rPr>
                <w:szCs w:val="20"/>
              </w:rPr>
            </w:pPr>
            <w:r w:rsidRPr="00210A5E">
              <w:rPr>
                <w:szCs w:val="20"/>
              </w:rPr>
              <w:t>MAE, MAPE,</w:t>
            </w:r>
          </w:p>
          <w:p w14:paraId="1F58FA49" w14:textId="77777777" w:rsidR="009034C6" w:rsidRPr="00210A5E" w:rsidRDefault="00784AE8">
            <w:pPr>
              <w:spacing w:after="0" w:line="259" w:lineRule="auto"/>
              <w:ind w:left="0" w:right="0" w:firstLine="0"/>
              <w:jc w:val="left"/>
              <w:rPr>
                <w:szCs w:val="20"/>
              </w:rPr>
            </w:pPr>
            <w:r w:rsidRPr="00210A5E">
              <w:rPr>
                <w:szCs w:val="20"/>
              </w:rPr>
              <w:t>MASE</w:t>
            </w:r>
          </w:p>
        </w:tc>
        <w:tc>
          <w:tcPr>
            <w:tcW w:w="1356" w:type="dxa"/>
            <w:tcBorders>
              <w:top w:val="nil"/>
              <w:left w:val="nil"/>
              <w:bottom w:val="nil"/>
              <w:right w:val="nil"/>
            </w:tcBorders>
          </w:tcPr>
          <w:p w14:paraId="338690D2" w14:textId="77777777" w:rsidR="009034C6" w:rsidRPr="00210A5E" w:rsidRDefault="00784AE8">
            <w:pPr>
              <w:spacing w:after="0" w:line="259" w:lineRule="auto"/>
              <w:ind w:left="0" w:right="0" w:firstLine="0"/>
              <w:jc w:val="left"/>
              <w:rPr>
                <w:szCs w:val="20"/>
              </w:rPr>
            </w:pPr>
            <w:r w:rsidRPr="00210A5E">
              <w:rPr>
                <w:szCs w:val="20"/>
              </w:rPr>
              <w:t>No</w:t>
            </w:r>
          </w:p>
        </w:tc>
        <w:tc>
          <w:tcPr>
            <w:tcW w:w="1114" w:type="dxa"/>
            <w:tcBorders>
              <w:top w:val="nil"/>
              <w:left w:val="nil"/>
              <w:bottom w:val="nil"/>
              <w:right w:val="nil"/>
            </w:tcBorders>
          </w:tcPr>
          <w:p w14:paraId="4C6E9B02" w14:textId="77777777" w:rsidR="009034C6" w:rsidRPr="00210A5E" w:rsidRDefault="00784AE8">
            <w:pPr>
              <w:spacing w:after="0" w:line="259" w:lineRule="auto"/>
              <w:ind w:left="0" w:right="0" w:firstLine="0"/>
              <w:jc w:val="left"/>
              <w:rPr>
                <w:szCs w:val="20"/>
              </w:rPr>
            </w:pPr>
            <w:r w:rsidRPr="00210A5E">
              <w:rPr>
                <w:szCs w:val="20"/>
              </w:rPr>
              <w:t>Single</w:t>
            </w:r>
          </w:p>
        </w:tc>
      </w:tr>
      <w:tr w:rsidR="009034C6" w:rsidRPr="00210A5E" w14:paraId="0F9B7482" w14:textId="77777777">
        <w:trPr>
          <w:trHeight w:val="987"/>
        </w:trPr>
        <w:tc>
          <w:tcPr>
            <w:tcW w:w="2346" w:type="dxa"/>
            <w:tcBorders>
              <w:top w:val="nil"/>
              <w:left w:val="nil"/>
              <w:bottom w:val="nil"/>
              <w:right w:val="nil"/>
            </w:tcBorders>
          </w:tcPr>
          <w:p w14:paraId="35E1EA2C" w14:textId="77777777" w:rsidR="009034C6" w:rsidRPr="00210A5E" w:rsidRDefault="00784AE8">
            <w:pPr>
              <w:spacing w:after="0" w:line="259" w:lineRule="auto"/>
              <w:ind w:left="114" w:right="0" w:firstLine="0"/>
              <w:jc w:val="left"/>
              <w:rPr>
                <w:szCs w:val="20"/>
              </w:rPr>
            </w:pPr>
            <w:r w:rsidRPr="00210A5E">
              <w:rPr>
                <w:szCs w:val="20"/>
              </w:rPr>
              <w:t>Kim et al.</w:t>
            </w:r>
          </w:p>
        </w:tc>
        <w:tc>
          <w:tcPr>
            <w:tcW w:w="637" w:type="dxa"/>
            <w:tcBorders>
              <w:top w:val="nil"/>
              <w:left w:val="nil"/>
              <w:bottom w:val="nil"/>
              <w:right w:val="nil"/>
            </w:tcBorders>
          </w:tcPr>
          <w:p w14:paraId="36E16AFC" w14:textId="77777777" w:rsidR="009034C6" w:rsidRPr="00210A5E" w:rsidRDefault="00784AE8">
            <w:pPr>
              <w:spacing w:after="0" w:line="259" w:lineRule="auto"/>
              <w:ind w:left="0" w:right="0" w:firstLine="0"/>
              <w:jc w:val="left"/>
              <w:rPr>
                <w:szCs w:val="20"/>
              </w:rPr>
            </w:pPr>
            <w:r w:rsidRPr="00210A5E">
              <w:rPr>
                <w:szCs w:val="20"/>
              </w:rPr>
              <w:t>2014</w:t>
            </w:r>
          </w:p>
        </w:tc>
        <w:tc>
          <w:tcPr>
            <w:tcW w:w="1444" w:type="dxa"/>
            <w:tcBorders>
              <w:top w:val="nil"/>
              <w:left w:val="nil"/>
              <w:bottom w:val="nil"/>
              <w:right w:val="nil"/>
            </w:tcBorders>
          </w:tcPr>
          <w:p w14:paraId="00D20697" w14:textId="77777777" w:rsidR="009034C6" w:rsidRPr="00210A5E" w:rsidRDefault="00784AE8">
            <w:pPr>
              <w:spacing w:after="0" w:line="259" w:lineRule="auto"/>
              <w:ind w:left="0" w:right="0" w:firstLine="0"/>
              <w:jc w:val="left"/>
              <w:rPr>
                <w:szCs w:val="20"/>
              </w:rPr>
            </w:pPr>
            <w:r w:rsidRPr="00210A5E">
              <w:rPr>
                <w:szCs w:val="20"/>
              </w:rPr>
              <w:t>Hospital admission</w:t>
            </w:r>
          </w:p>
        </w:tc>
        <w:tc>
          <w:tcPr>
            <w:tcW w:w="1056" w:type="dxa"/>
            <w:tcBorders>
              <w:top w:val="nil"/>
              <w:left w:val="nil"/>
              <w:bottom w:val="nil"/>
              <w:right w:val="nil"/>
            </w:tcBorders>
          </w:tcPr>
          <w:p w14:paraId="14537572" w14:textId="77777777" w:rsidR="009034C6" w:rsidRPr="00210A5E" w:rsidRDefault="00784AE8">
            <w:pPr>
              <w:spacing w:after="0" w:line="259" w:lineRule="auto"/>
              <w:ind w:left="10" w:right="0" w:firstLine="0"/>
              <w:jc w:val="left"/>
              <w:rPr>
                <w:szCs w:val="20"/>
              </w:rPr>
            </w:pPr>
            <w:r w:rsidRPr="00210A5E">
              <w:rPr>
                <w:szCs w:val="20"/>
              </w:rPr>
              <w:t>4h, 24h</w:t>
            </w:r>
          </w:p>
        </w:tc>
        <w:tc>
          <w:tcPr>
            <w:tcW w:w="848" w:type="dxa"/>
            <w:tcBorders>
              <w:top w:val="nil"/>
              <w:left w:val="nil"/>
              <w:bottom w:val="nil"/>
              <w:right w:val="nil"/>
            </w:tcBorders>
          </w:tcPr>
          <w:p w14:paraId="60CD5ECB" w14:textId="77777777" w:rsidR="009034C6" w:rsidRPr="00210A5E" w:rsidRDefault="00784AE8">
            <w:pPr>
              <w:spacing w:after="0" w:line="259" w:lineRule="auto"/>
              <w:ind w:left="0" w:right="0" w:firstLine="0"/>
              <w:jc w:val="left"/>
              <w:rPr>
                <w:szCs w:val="20"/>
              </w:rPr>
            </w:pPr>
            <w:r w:rsidRPr="00210A5E">
              <w:rPr>
                <w:szCs w:val="20"/>
              </w:rPr>
              <w:t>3 years</w:t>
            </w:r>
          </w:p>
        </w:tc>
        <w:tc>
          <w:tcPr>
            <w:tcW w:w="2279" w:type="dxa"/>
            <w:tcBorders>
              <w:top w:val="nil"/>
              <w:left w:val="nil"/>
              <w:bottom w:val="nil"/>
              <w:right w:val="nil"/>
            </w:tcBorders>
          </w:tcPr>
          <w:p w14:paraId="41BA88EB" w14:textId="77777777" w:rsidR="009034C6" w:rsidRPr="00210A5E" w:rsidRDefault="00784AE8">
            <w:pPr>
              <w:spacing w:after="0" w:line="232" w:lineRule="auto"/>
              <w:ind w:left="8" w:right="98" w:firstLine="0"/>
              <w:jc w:val="left"/>
              <w:rPr>
                <w:szCs w:val="20"/>
              </w:rPr>
            </w:pPr>
            <w:r w:rsidRPr="00210A5E">
              <w:rPr>
                <w:szCs w:val="20"/>
              </w:rPr>
              <w:t>Linear regression; Exponential smoothing; ARIMA;</w:t>
            </w:r>
          </w:p>
          <w:p w14:paraId="2C238892" w14:textId="77777777" w:rsidR="009034C6" w:rsidRPr="00210A5E" w:rsidRDefault="00784AE8">
            <w:pPr>
              <w:spacing w:after="0" w:line="259" w:lineRule="auto"/>
              <w:ind w:left="8" w:right="0" w:firstLine="0"/>
              <w:jc w:val="left"/>
              <w:rPr>
                <w:szCs w:val="20"/>
              </w:rPr>
            </w:pPr>
            <w:r w:rsidRPr="00210A5E">
              <w:rPr>
                <w:szCs w:val="20"/>
              </w:rPr>
              <w:t>GARCH; VAR</w:t>
            </w:r>
          </w:p>
        </w:tc>
        <w:tc>
          <w:tcPr>
            <w:tcW w:w="1863" w:type="dxa"/>
            <w:tcBorders>
              <w:top w:val="nil"/>
              <w:left w:val="nil"/>
              <w:bottom w:val="nil"/>
              <w:right w:val="nil"/>
            </w:tcBorders>
          </w:tcPr>
          <w:p w14:paraId="6A3B23C6" w14:textId="77777777" w:rsidR="009034C6" w:rsidRPr="00210A5E" w:rsidRDefault="00784AE8">
            <w:pPr>
              <w:spacing w:after="0" w:line="259" w:lineRule="auto"/>
              <w:ind w:left="0" w:right="0" w:firstLine="0"/>
              <w:jc w:val="left"/>
              <w:rPr>
                <w:szCs w:val="20"/>
              </w:rPr>
            </w:pPr>
            <w:r w:rsidRPr="00210A5E">
              <w:rPr>
                <w:szCs w:val="20"/>
              </w:rPr>
              <w:t>MAPE</w:t>
            </w:r>
          </w:p>
        </w:tc>
        <w:tc>
          <w:tcPr>
            <w:tcW w:w="1356" w:type="dxa"/>
            <w:tcBorders>
              <w:top w:val="nil"/>
              <w:left w:val="nil"/>
              <w:bottom w:val="nil"/>
              <w:right w:val="nil"/>
            </w:tcBorders>
          </w:tcPr>
          <w:p w14:paraId="79D861DB" w14:textId="77777777" w:rsidR="009034C6" w:rsidRPr="00210A5E" w:rsidRDefault="00784AE8">
            <w:pPr>
              <w:spacing w:after="0" w:line="259" w:lineRule="auto"/>
              <w:ind w:left="0" w:right="0" w:firstLine="0"/>
              <w:jc w:val="left"/>
              <w:rPr>
                <w:szCs w:val="20"/>
              </w:rPr>
            </w:pPr>
            <w:r w:rsidRPr="00210A5E">
              <w:rPr>
                <w:szCs w:val="20"/>
              </w:rPr>
              <w:t>No</w:t>
            </w:r>
          </w:p>
        </w:tc>
        <w:tc>
          <w:tcPr>
            <w:tcW w:w="1114" w:type="dxa"/>
            <w:tcBorders>
              <w:top w:val="nil"/>
              <w:left w:val="nil"/>
              <w:bottom w:val="nil"/>
              <w:right w:val="nil"/>
            </w:tcBorders>
          </w:tcPr>
          <w:p w14:paraId="7D2F0338" w14:textId="77777777" w:rsidR="009034C6" w:rsidRPr="00210A5E" w:rsidRDefault="00784AE8">
            <w:pPr>
              <w:spacing w:after="0" w:line="259" w:lineRule="auto"/>
              <w:ind w:left="0" w:right="0" w:firstLine="0"/>
              <w:jc w:val="left"/>
              <w:rPr>
                <w:szCs w:val="20"/>
              </w:rPr>
            </w:pPr>
            <w:r w:rsidRPr="00210A5E">
              <w:rPr>
                <w:szCs w:val="20"/>
              </w:rPr>
              <w:t>Single</w:t>
            </w:r>
          </w:p>
        </w:tc>
      </w:tr>
      <w:tr w:rsidR="009034C6" w:rsidRPr="00210A5E" w14:paraId="50964FC4" w14:textId="77777777">
        <w:trPr>
          <w:trHeight w:val="493"/>
        </w:trPr>
        <w:tc>
          <w:tcPr>
            <w:tcW w:w="2346" w:type="dxa"/>
            <w:tcBorders>
              <w:top w:val="nil"/>
              <w:left w:val="nil"/>
              <w:bottom w:val="nil"/>
              <w:right w:val="nil"/>
            </w:tcBorders>
          </w:tcPr>
          <w:p w14:paraId="59D147C3" w14:textId="77777777" w:rsidR="009034C6" w:rsidRPr="00210A5E" w:rsidRDefault="00784AE8">
            <w:pPr>
              <w:spacing w:after="0" w:line="259" w:lineRule="auto"/>
              <w:ind w:left="114" w:right="0" w:firstLine="0"/>
              <w:jc w:val="left"/>
              <w:rPr>
                <w:szCs w:val="20"/>
              </w:rPr>
            </w:pPr>
            <w:r w:rsidRPr="00210A5E">
              <w:rPr>
                <w:szCs w:val="20"/>
              </w:rPr>
              <w:t>Cote et al.</w:t>
            </w:r>
          </w:p>
        </w:tc>
        <w:tc>
          <w:tcPr>
            <w:tcW w:w="637" w:type="dxa"/>
            <w:tcBorders>
              <w:top w:val="nil"/>
              <w:left w:val="nil"/>
              <w:bottom w:val="nil"/>
              <w:right w:val="nil"/>
            </w:tcBorders>
          </w:tcPr>
          <w:p w14:paraId="4CBAE7F2" w14:textId="77777777" w:rsidR="009034C6" w:rsidRPr="00210A5E" w:rsidRDefault="00784AE8">
            <w:pPr>
              <w:spacing w:after="0" w:line="259" w:lineRule="auto"/>
              <w:ind w:left="0" w:right="0" w:firstLine="0"/>
              <w:jc w:val="left"/>
              <w:rPr>
                <w:szCs w:val="20"/>
              </w:rPr>
            </w:pPr>
            <w:r w:rsidRPr="00210A5E">
              <w:rPr>
                <w:szCs w:val="20"/>
              </w:rPr>
              <w:t>2013</w:t>
            </w:r>
          </w:p>
        </w:tc>
        <w:tc>
          <w:tcPr>
            <w:tcW w:w="1444" w:type="dxa"/>
            <w:tcBorders>
              <w:top w:val="nil"/>
              <w:left w:val="nil"/>
              <w:bottom w:val="nil"/>
              <w:right w:val="nil"/>
            </w:tcBorders>
          </w:tcPr>
          <w:p w14:paraId="3960FC2A" w14:textId="77777777" w:rsidR="009034C6" w:rsidRPr="00210A5E" w:rsidRDefault="00784AE8">
            <w:pPr>
              <w:spacing w:after="0" w:line="259" w:lineRule="auto"/>
              <w:ind w:left="0" w:right="0" w:firstLine="0"/>
              <w:jc w:val="left"/>
              <w:rPr>
                <w:szCs w:val="20"/>
              </w:rPr>
            </w:pPr>
            <w:r w:rsidRPr="00210A5E">
              <w:rPr>
                <w:szCs w:val="20"/>
              </w:rPr>
              <w:t>ED arrivals</w:t>
            </w:r>
          </w:p>
        </w:tc>
        <w:tc>
          <w:tcPr>
            <w:tcW w:w="1056" w:type="dxa"/>
            <w:tcBorders>
              <w:top w:val="nil"/>
              <w:left w:val="nil"/>
              <w:bottom w:val="nil"/>
              <w:right w:val="nil"/>
            </w:tcBorders>
          </w:tcPr>
          <w:p w14:paraId="58B6BB83" w14:textId="77777777" w:rsidR="009034C6" w:rsidRPr="00210A5E" w:rsidRDefault="00784AE8">
            <w:pPr>
              <w:spacing w:after="0" w:line="259" w:lineRule="auto"/>
              <w:ind w:left="10" w:right="0" w:firstLine="0"/>
              <w:jc w:val="left"/>
              <w:rPr>
                <w:szCs w:val="20"/>
              </w:rPr>
            </w:pPr>
            <w:r w:rsidRPr="00210A5E">
              <w:rPr>
                <w:szCs w:val="20"/>
              </w:rPr>
              <w:t>24h</w:t>
            </w:r>
          </w:p>
        </w:tc>
        <w:tc>
          <w:tcPr>
            <w:tcW w:w="848" w:type="dxa"/>
            <w:tcBorders>
              <w:top w:val="nil"/>
              <w:left w:val="nil"/>
              <w:bottom w:val="nil"/>
              <w:right w:val="nil"/>
            </w:tcBorders>
          </w:tcPr>
          <w:p w14:paraId="75446BC6" w14:textId="77777777" w:rsidR="009034C6" w:rsidRPr="00210A5E" w:rsidRDefault="00784AE8">
            <w:pPr>
              <w:spacing w:after="0" w:line="259" w:lineRule="auto"/>
              <w:ind w:left="0" w:right="0" w:firstLine="0"/>
              <w:jc w:val="left"/>
              <w:rPr>
                <w:szCs w:val="20"/>
              </w:rPr>
            </w:pPr>
            <w:r w:rsidRPr="00210A5E">
              <w:rPr>
                <w:szCs w:val="20"/>
              </w:rPr>
              <w:t>2 years</w:t>
            </w:r>
          </w:p>
        </w:tc>
        <w:tc>
          <w:tcPr>
            <w:tcW w:w="2279" w:type="dxa"/>
            <w:tcBorders>
              <w:top w:val="nil"/>
              <w:left w:val="nil"/>
              <w:bottom w:val="nil"/>
              <w:right w:val="nil"/>
            </w:tcBorders>
          </w:tcPr>
          <w:p w14:paraId="5CE78D4E" w14:textId="77777777" w:rsidR="009034C6" w:rsidRPr="00210A5E" w:rsidRDefault="00784AE8">
            <w:pPr>
              <w:spacing w:after="0" w:line="259" w:lineRule="auto"/>
              <w:ind w:left="8" w:right="0" w:firstLine="0"/>
              <w:jc w:val="left"/>
              <w:rPr>
                <w:szCs w:val="20"/>
              </w:rPr>
            </w:pPr>
            <w:r w:rsidRPr="00210A5E">
              <w:rPr>
                <w:szCs w:val="20"/>
              </w:rPr>
              <w:t>Fourier regression</w:t>
            </w:r>
          </w:p>
        </w:tc>
        <w:tc>
          <w:tcPr>
            <w:tcW w:w="1863" w:type="dxa"/>
            <w:tcBorders>
              <w:top w:val="nil"/>
              <w:left w:val="nil"/>
              <w:bottom w:val="nil"/>
              <w:right w:val="nil"/>
            </w:tcBorders>
          </w:tcPr>
          <w:p w14:paraId="3A24C546" w14:textId="77777777" w:rsidR="009034C6" w:rsidRPr="00210A5E" w:rsidRDefault="00784AE8">
            <w:pPr>
              <w:spacing w:after="0" w:line="259" w:lineRule="auto"/>
              <w:ind w:left="0" w:right="0" w:firstLine="0"/>
              <w:jc w:val="left"/>
              <w:rPr>
                <w:szCs w:val="20"/>
              </w:rPr>
            </w:pPr>
            <w:r w:rsidRPr="00210A5E">
              <w:rPr>
                <w:szCs w:val="20"/>
              </w:rPr>
              <w:t>R^2, Standard</w:t>
            </w:r>
          </w:p>
          <w:p w14:paraId="2FB0E366" w14:textId="77777777" w:rsidR="009034C6" w:rsidRPr="00210A5E" w:rsidRDefault="00784AE8">
            <w:pPr>
              <w:spacing w:after="0" w:line="259" w:lineRule="auto"/>
              <w:ind w:left="0" w:right="0" w:firstLine="0"/>
              <w:jc w:val="left"/>
              <w:rPr>
                <w:szCs w:val="20"/>
              </w:rPr>
            </w:pPr>
            <w:r w:rsidRPr="00210A5E">
              <w:rPr>
                <w:szCs w:val="20"/>
              </w:rPr>
              <w:t>Error</w:t>
            </w:r>
          </w:p>
        </w:tc>
        <w:tc>
          <w:tcPr>
            <w:tcW w:w="1356" w:type="dxa"/>
            <w:tcBorders>
              <w:top w:val="nil"/>
              <w:left w:val="nil"/>
              <w:bottom w:val="nil"/>
              <w:right w:val="nil"/>
            </w:tcBorders>
          </w:tcPr>
          <w:p w14:paraId="30109925" w14:textId="77777777" w:rsidR="009034C6" w:rsidRPr="00210A5E" w:rsidRDefault="00784AE8">
            <w:pPr>
              <w:spacing w:after="0" w:line="259" w:lineRule="auto"/>
              <w:ind w:left="0" w:right="0" w:firstLine="0"/>
              <w:jc w:val="left"/>
              <w:rPr>
                <w:szCs w:val="20"/>
              </w:rPr>
            </w:pPr>
            <w:r w:rsidRPr="00210A5E">
              <w:rPr>
                <w:szCs w:val="20"/>
              </w:rPr>
              <w:t>No</w:t>
            </w:r>
          </w:p>
        </w:tc>
        <w:tc>
          <w:tcPr>
            <w:tcW w:w="1114" w:type="dxa"/>
            <w:tcBorders>
              <w:top w:val="nil"/>
              <w:left w:val="nil"/>
              <w:bottom w:val="nil"/>
              <w:right w:val="nil"/>
            </w:tcBorders>
          </w:tcPr>
          <w:p w14:paraId="07CFF929" w14:textId="77777777" w:rsidR="009034C6" w:rsidRPr="00210A5E" w:rsidRDefault="00784AE8">
            <w:pPr>
              <w:spacing w:after="0" w:line="259" w:lineRule="auto"/>
              <w:ind w:left="0" w:right="0" w:firstLine="0"/>
              <w:jc w:val="left"/>
              <w:rPr>
                <w:szCs w:val="20"/>
              </w:rPr>
            </w:pPr>
            <w:r w:rsidRPr="00210A5E">
              <w:rPr>
                <w:szCs w:val="20"/>
              </w:rPr>
              <w:t>Single</w:t>
            </w:r>
          </w:p>
        </w:tc>
      </w:tr>
      <w:tr w:rsidR="009034C6" w:rsidRPr="00210A5E" w14:paraId="56587228" w14:textId="77777777">
        <w:trPr>
          <w:trHeight w:val="740"/>
        </w:trPr>
        <w:tc>
          <w:tcPr>
            <w:tcW w:w="2346" w:type="dxa"/>
            <w:tcBorders>
              <w:top w:val="nil"/>
              <w:left w:val="nil"/>
              <w:bottom w:val="nil"/>
              <w:right w:val="nil"/>
            </w:tcBorders>
          </w:tcPr>
          <w:p w14:paraId="317F030C" w14:textId="77777777" w:rsidR="009034C6" w:rsidRPr="00210A5E" w:rsidRDefault="00784AE8">
            <w:pPr>
              <w:spacing w:after="0" w:line="259" w:lineRule="auto"/>
              <w:ind w:left="114" w:right="0" w:firstLine="0"/>
              <w:jc w:val="left"/>
              <w:rPr>
                <w:szCs w:val="20"/>
              </w:rPr>
            </w:pPr>
            <w:r w:rsidRPr="00210A5E">
              <w:rPr>
                <w:szCs w:val="20"/>
              </w:rPr>
              <w:t>Chase et al.</w:t>
            </w:r>
          </w:p>
        </w:tc>
        <w:tc>
          <w:tcPr>
            <w:tcW w:w="637" w:type="dxa"/>
            <w:tcBorders>
              <w:top w:val="nil"/>
              <w:left w:val="nil"/>
              <w:bottom w:val="nil"/>
              <w:right w:val="nil"/>
            </w:tcBorders>
          </w:tcPr>
          <w:p w14:paraId="70A4ABF6" w14:textId="77777777" w:rsidR="009034C6" w:rsidRPr="00210A5E" w:rsidRDefault="00784AE8">
            <w:pPr>
              <w:spacing w:after="0" w:line="259" w:lineRule="auto"/>
              <w:ind w:left="0" w:right="0" w:firstLine="0"/>
              <w:jc w:val="left"/>
              <w:rPr>
                <w:szCs w:val="20"/>
              </w:rPr>
            </w:pPr>
            <w:r w:rsidRPr="00210A5E">
              <w:rPr>
                <w:szCs w:val="20"/>
              </w:rPr>
              <w:t>2012</w:t>
            </w:r>
          </w:p>
        </w:tc>
        <w:tc>
          <w:tcPr>
            <w:tcW w:w="1444" w:type="dxa"/>
            <w:tcBorders>
              <w:top w:val="nil"/>
              <w:left w:val="nil"/>
              <w:bottom w:val="nil"/>
              <w:right w:val="nil"/>
            </w:tcBorders>
          </w:tcPr>
          <w:p w14:paraId="7865FCF1" w14:textId="77777777" w:rsidR="009034C6" w:rsidRPr="00210A5E" w:rsidRDefault="00784AE8">
            <w:pPr>
              <w:spacing w:after="0" w:line="259" w:lineRule="auto"/>
              <w:ind w:left="0" w:right="0" w:firstLine="0"/>
              <w:jc w:val="left"/>
              <w:rPr>
                <w:szCs w:val="20"/>
              </w:rPr>
            </w:pPr>
            <w:r w:rsidRPr="00210A5E">
              <w:rPr>
                <w:szCs w:val="20"/>
              </w:rPr>
              <w:t>ED CUR</w:t>
            </w:r>
          </w:p>
        </w:tc>
        <w:tc>
          <w:tcPr>
            <w:tcW w:w="1056" w:type="dxa"/>
            <w:tcBorders>
              <w:top w:val="nil"/>
              <w:left w:val="nil"/>
              <w:bottom w:val="nil"/>
              <w:right w:val="nil"/>
            </w:tcBorders>
          </w:tcPr>
          <w:p w14:paraId="7BA59E10" w14:textId="77777777" w:rsidR="009034C6" w:rsidRPr="00210A5E" w:rsidRDefault="00784AE8">
            <w:pPr>
              <w:spacing w:after="0" w:line="259" w:lineRule="auto"/>
              <w:ind w:left="10" w:right="0" w:firstLine="0"/>
              <w:jc w:val="left"/>
              <w:rPr>
                <w:szCs w:val="20"/>
              </w:rPr>
            </w:pPr>
            <w:r w:rsidRPr="00210A5E">
              <w:rPr>
                <w:szCs w:val="20"/>
              </w:rPr>
              <w:t>30m 1h,</w:t>
            </w:r>
          </w:p>
          <w:p w14:paraId="1BADB70A" w14:textId="77777777" w:rsidR="009034C6" w:rsidRPr="00210A5E" w:rsidRDefault="00784AE8">
            <w:pPr>
              <w:spacing w:after="0" w:line="259" w:lineRule="auto"/>
              <w:ind w:left="5" w:right="0" w:firstLine="0"/>
              <w:jc w:val="left"/>
              <w:rPr>
                <w:szCs w:val="20"/>
              </w:rPr>
            </w:pPr>
            <w:r w:rsidRPr="00210A5E">
              <w:rPr>
                <w:szCs w:val="20"/>
              </w:rPr>
              <w:t>2h, 4h,</w:t>
            </w:r>
          </w:p>
          <w:p w14:paraId="7253AB69" w14:textId="77777777" w:rsidR="009034C6" w:rsidRPr="00210A5E" w:rsidRDefault="00784AE8">
            <w:pPr>
              <w:spacing w:after="0" w:line="259" w:lineRule="auto"/>
              <w:ind w:left="10" w:right="0" w:firstLine="0"/>
              <w:jc w:val="left"/>
              <w:rPr>
                <w:szCs w:val="20"/>
              </w:rPr>
            </w:pPr>
            <w:r w:rsidRPr="00210A5E">
              <w:rPr>
                <w:szCs w:val="20"/>
              </w:rPr>
              <w:t>8h, 12h</w:t>
            </w:r>
          </w:p>
        </w:tc>
        <w:tc>
          <w:tcPr>
            <w:tcW w:w="848" w:type="dxa"/>
            <w:tcBorders>
              <w:top w:val="nil"/>
              <w:left w:val="nil"/>
              <w:bottom w:val="nil"/>
              <w:right w:val="nil"/>
            </w:tcBorders>
          </w:tcPr>
          <w:p w14:paraId="0EE3BE81" w14:textId="77777777" w:rsidR="009034C6" w:rsidRPr="00210A5E" w:rsidRDefault="00784AE8">
            <w:pPr>
              <w:spacing w:after="0" w:line="259" w:lineRule="auto"/>
              <w:ind w:left="0" w:right="0" w:firstLine="0"/>
              <w:jc w:val="left"/>
              <w:rPr>
                <w:szCs w:val="20"/>
              </w:rPr>
            </w:pPr>
            <w:r w:rsidRPr="00210A5E">
              <w:rPr>
                <w:szCs w:val="20"/>
              </w:rPr>
              <w:t>1 year</w:t>
            </w:r>
          </w:p>
        </w:tc>
        <w:tc>
          <w:tcPr>
            <w:tcW w:w="2279" w:type="dxa"/>
            <w:tcBorders>
              <w:top w:val="nil"/>
              <w:left w:val="nil"/>
              <w:bottom w:val="nil"/>
              <w:right w:val="nil"/>
            </w:tcBorders>
          </w:tcPr>
          <w:p w14:paraId="521008F2" w14:textId="77777777" w:rsidR="009034C6" w:rsidRPr="00210A5E" w:rsidRDefault="00784AE8">
            <w:pPr>
              <w:spacing w:after="0" w:line="259" w:lineRule="auto"/>
              <w:ind w:left="8" w:right="0" w:firstLine="0"/>
              <w:jc w:val="left"/>
              <w:rPr>
                <w:szCs w:val="20"/>
              </w:rPr>
            </w:pPr>
            <w:r w:rsidRPr="00210A5E">
              <w:rPr>
                <w:szCs w:val="20"/>
              </w:rPr>
              <w:t>Binary regression</w:t>
            </w:r>
          </w:p>
        </w:tc>
        <w:tc>
          <w:tcPr>
            <w:tcW w:w="1863" w:type="dxa"/>
            <w:tcBorders>
              <w:top w:val="nil"/>
              <w:left w:val="nil"/>
              <w:bottom w:val="nil"/>
              <w:right w:val="nil"/>
            </w:tcBorders>
          </w:tcPr>
          <w:p w14:paraId="4C33FA97" w14:textId="77777777" w:rsidR="009034C6" w:rsidRPr="00210A5E" w:rsidRDefault="00784AE8">
            <w:pPr>
              <w:spacing w:after="0" w:line="259" w:lineRule="auto"/>
              <w:ind w:left="0" w:right="0" w:firstLine="0"/>
              <w:jc w:val="left"/>
              <w:rPr>
                <w:szCs w:val="20"/>
              </w:rPr>
            </w:pPr>
            <w:r w:rsidRPr="00210A5E">
              <w:rPr>
                <w:szCs w:val="20"/>
              </w:rPr>
              <w:t>NA</w:t>
            </w:r>
          </w:p>
        </w:tc>
        <w:tc>
          <w:tcPr>
            <w:tcW w:w="1356" w:type="dxa"/>
            <w:tcBorders>
              <w:top w:val="nil"/>
              <w:left w:val="nil"/>
              <w:bottom w:val="nil"/>
              <w:right w:val="nil"/>
            </w:tcBorders>
          </w:tcPr>
          <w:p w14:paraId="0121420F" w14:textId="77777777" w:rsidR="009034C6" w:rsidRPr="00210A5E" w:rsidRDefault="00784AE8">
            <w:pPr>
              <w:spacing w:after="0" w:line="259" w:lineRule="auto"/>
              <w:ind w:left="0" w:right="0" w:firstLine="0"/>
              <w:jc w:val="left"/>
              <w:rPr>
                <w:szCs w:val="20"/>
              </w:rPr>
            </w:pPr>
            <w:r w:rsidRPr="00210A5E">
              <w:rPr>
                <w:szCs w:val="20"/>
              </w:rPr>
              <w:t>No</w:t>
            </w:r>
          </w:p>
        </w:tc>
        <w:tc>
          <w:tcPr>
            <w:tcW w:w="1114" w:type="dxa"/>
            <w:tcBorders>
              <w:top w:val="nil"/>
              <w:left w:val="nil"/>
              <w:bottom w:val="nil"/>
              <w:right w:val="nil"/>
            </w:tcBorders>
          </w:tcPr>
          <w:p w14:paraId="73EFECB3" w14:textId="77777777" w:rsidR="009034C6" w:rsidRPr="00210A5E" w:rsidRDefault="00784AE8">
            <w:pPr>
              <w:spacing w:after="0" w:line="259" w:lineRule="auto"/>
              <w:ind w:left="0" w:right="0" w:firstLine="0"/>
              <w:jc w:val="left"/>
              <w:rPr>
                <w:szCs w:val="20"/>
              </w:rPr>
            </w:pPr>
            <w:r w:rsidRPr="00210A5E">
              <w:rPr>
                <w:szCs w:val="20"/>
              </w:rPr>
              <w:t>Single</w:t>
            </w:r>
          </w:p>
        </w:tc>
      </w:tr>
      <w:tr w:rsidR="009034C6" w:rsidRPr="00210A5E" w14:paraId="5B34F26A" w14:textId="77777777">
        <w:trPr>
          <w:trHeight w:val="987"/>
        </w:trPr>
        <w:tc>
          <w:tcPr>
            <w:tcW w:w="2346" w:type="dxa"/>
            <w:tcBorders>
              <w:top w:val="nil"/>
              <w:left w:val="nil"/>
              <w:bottom w:val="nil"/>
              <w:right w:val="nil"/>
            </w:tcBorders>
          </w:tcPr>
          <w:p w14:paraId="1A2059E6" w14:textId="77777777" w:rsidR="009034C6" w:rsidRPr="00210A5E" w:rsidRDefault="00784AE8">
            <w:pPr>
              <w:spacing w:after="0" w:line="259" w:lineRule="auto"/>
              <w:ind w:left="114" w:right="0" w:firstLine="0"/>
              <w:jc w:val="left"/>
              <w:rPr>
                <w:szCs w:val="20"/>
              </w:rPr>
            </w:pPr>
            <w:proofErr w:type="spellStart"/>
            <w:r w:rsidRPr="00210A5E">
              <w:rPr>
                <w:szCs w:val="20"/>
              </w:rPr>
              <w:t>Schweigler</w:t>
            </w:r>
            <w:proofErr w:type="spellEnd"/>
            <w:r w:rsidRPr="00210A5E">
              <w:rPr>
                <w:szCs w:val="20"/>
              </w:rPr>
              <w:t xml:space="preserve"> et al.</w:t>
            </w:r>
          </w:p>
        </w:tc>
        <w:tc>
          <w:tcPr>
            <w:tcW w:w="637" w:type="dxa"/>
            <w:tcBorders>
              <w:top w:val="nil"/>
              <w:left w:val="nil"/>
              <w:bottom w:val="nil"/>
              <w:right w:val="nil"/>
            </w:tcBorders>
          </w:tcPr>
          <w:p w14:paraId="66259F93" w14:textId="77777777" w:rsidR="009034C6" w:rsidRPr="00210A5E" w:rsidRDefault="00784AE8">
            <w:pPr>
              <w:spacing w:after="0" w:line="259" w:lineRule="auto"/>
              <w:ind w:left="0" w:right="0" w:firstLine="0"/>
              <w:jc w:val="left"/>
              <w:rPr>
                <w:szCs w:val="20"/>
              </w:rPr>
            </w:pPr>
            <w:r w:rsidRPr="00210A5E">
              <w:rPr>
                <w:szCs w:val="20"/>
              </w:rPr>
              <w:t>2009</w:t>
            </w:r>
          </w:p>
        </w:tc>
        <w:tc>
          <w:tcPr>
            <w:tcW w:w="1444" w:type="dxa"/>
            <w:tcBorders>
              <w:top w:val="nil"/>
              <w:left w:val="nil"/>
              <w:bottom w:val="nil"/>
              <w:right w:val="nil"/>
            </w:tcBorders>
          </w:tcPr>
          <w:p w14:paraId="4C67AE22" w14:textId="77777777" w:rsidR="009034C6" w:rsidRPr="00210A5E" w:rsidRDefault="00784AE8">
            <w:pPr>
              <w:spacing w:after="0" w:line="259" w:lineRule="auto"/>
              <w:ind w:left="0" w:right="50" w:firstLine="0"/>
              <w:jc w:val="left"/>
              <w:rPr>
                <w:szCs w:val="20"/>
              </w:rPr>
            </w:pPr>
            <w:r w:rsidRPr="00210A5E">
              <w:rPr>
                <w:szCs w:val="20"/>
              </w:rPr>
              <w:t>Bed occupancy</w:t>
            </w:r>
          </w:p>
        </w:tc>
        <w:tc>
          <w:tcPr>
            <w:tcW w:w="1056" w:type="dxa"/>
            <w:tcBorders>
              <w:top w:val="nil"/>
              <w:left w:val="nil"/>
              <w:bottom w:val="nil"/>
              <w:right w:val="nil"/>
            </w:tcBorders>
          </w:tcPr>
          <w:p w14:paraId="40901F20" w14:textId="77777777" w:rsidR="009034C6" w:rsidRPr="00210A5E" w:rsidRDefault="00784AE8">
            <w:pPr>
              <w:spacing w:after="0" w:line="259" w:lineRule="auto"/>
              <w:ind w:left="10" w:right="0" w:firstLine="0"/>
              <w:jc w:val="left"/>
              <w:rPr>
                <w:szCs w:val="20"/>
              </w:rPr>
            </w:pPr>
            <w:r w:rsidRPr="00210A5E">
              <w:rPr>
                <w:szCs w:val="20"/>
              </w:rPr>
              <w:t>4h, 12h</w:t>
            </w:r>
          </w:p>
        </w:tc>
        <w:tc>
          <w:tcPr>
            <w:tcW w:w="848" w:type="dxa"/>
            <w:tcBorders>
              <w:top w:val="nil"/>
              <w:left w:val="nil"/>
              <w:bottom w:val="nil"/>
              <w:right w:val="nil"/>
            </w:tcBorders>
          </w:tcPr>
          <w:p w14:paraId="7406E11E" w14:textId="77777777" w:rsidR="009034C6" w:rsidRPr="00210A5E" w:rsidRDefault="00784AE8">
            <w:pPr>
              <w:spacing w:after="0" w:line="259" w:lineRule="auto"/>
              <w:ind w:left="0" w:right="0" w:firstLine="0"/>
              <w:jc w:val="left"/>
              <w:rPr>
                <w:szCs w:val="20"/>
              </w:rPr>
            </w:pPr>
            <w:r w:rsidRPr="00210A5E">
              <w:rPr>
                <w:szCs w:val="20"/>
              </w:rPr>
              <w:t>4 years</w:t>
            </w:r>
          </w:p>
        </w:tc>
        <w:tc>
          <w:tcPr>
            <w:tcW w:w="2279" w:type="dxa"/>
            <w:tcBorders>
              <w:top w:val="nil"/>
              <w:left w:val="nil"/>
              <w:bottom w:val="nil"/>
              <w:right w:val="nil"/>
            </w:tcBorders>
          </w:tcPr>
          <w:p w14:paraId="46F73B93" w14:textId="77777777" w:rsidR="009034C6" w:rsidRPr="00210A5E" w:rsidRDefault="00784AE8">
            <w:pPr>
              <w:spacing w:after="0" w:line="259" w:lineRule="auto"/>
              <w:ind w:left="8" w:right="0" w:firstLine="0"/>
              <w:jc w:val="left"/>
              <w:rPr>
                <w:szCs w:val="20"/>
              </w:rPr>
            </w:pPr>
            <w:r w:rsidRPr="00210A5E">
              <w:rPr>
                <w:szCs w:val="20"/>
              </w:rPr>
              <w:t>Hourly historical average; SARIMA; Sinusoidal model with autocorrelated error</w:t>
            </w:r>
          </w:p>
        </w:tc>
        <w:tc>
          <w:tcPr>
            <w:tcW w:w="1863" w:type="dxa"/>
            <w:tcBorders>
              <w:top w:val="nil"/>
              <w:left w:val="nil"/>
              <w:bottom w:val="nil"/>
              <w:right w:val="nil"/>
            </w:tcBorders>
          </w:tcPr>
          <w:p w14:paraId="15B56406" w14:textId="77777777" w:rsidR="009034C6" w:rsidRPr="00210A5E" w:rsidRDefault="00784AE8">
            <w:pPr>
              <w:spacing w:after="0" w:line="259" w:lineRule="auto"/>
              <w:ind w:left="0" w:right="0" w:firstLine="0"/>
              <w:jc w:val="left"/>
              <w:rPr>
                <w:szCs w:val="20"/>
              </w:rPr>
            </w:pPr>
            <w:r w:rsidRPr="00210A5E">
              <w:rPr>
                <w:szCs w:val="20"/>
              </w:rPr>
              <w:t>RMSE</w:t>
            </w:r>
          </w:p>
        </w:tc>
        <w:tc>
          <w:tcPr>
            <w:tcW w:w="1356" w:type="dxa"/>
            <w:tcBorders>
              <w:top w:val="nil"/>
              <w:left w:val="nil"/>
              <w:bottom w:val="nil"/>
              <w:right w:val="nil"/>
            </w:tcBorders>
          </w:tcPr>
          <w:p w14:paraId="6ACB0A0D" w14:textId="77777777" w:rsidR="009034C6" w:rsidRPr="00210A5E" w:rsidRDefault="00784AE8">
            <w:pPr>
              <w:spacing w:after="0" w:line="259" w:lineRule="auto"/>
              <w:ind w:left="0" w:right="0" w:firstLine="0"/>
              <w:jc w:val="left"/>
              <w:rPr>
                <w:szCs w:val="20"/>
              </w:rPr>
            </w:pPr>
            <w:r w:rsidRPr="00210A5E">
              <w:rPr>
                <w:szCs w:val="20"/>
              </w:rPr>
              <w:t>No</w:t>
            </w:r>
          </w:p>
        </w:tc>
        <w:tc>
          <w:tcPr>
            <w:tcW w:w="1114" w:type="dxa"/>
            <w:tcBorders>
              <w:top w:val="nil"/>
              <w:left w:val="nil"/>
              <w:bottom w:val="nil"/>
              <w:right w:val="nil"/>
            </w:tcBorders>
          </w:tcPr>
          <w:p w14:paraId="0A4D86B1" w14:textId="77777777" w:rsidR="009034C6" w:rsidRPr="00210A5E" w:rsidRDefault="00784AE8">
            <w:pPr>
              <w:spacing w:after="0" w:line="259" w:lineRule="auto"/>
              <w:ind w:left="0" w:right="0" w:firstLine="0"/>
              <w:jc w:val="left"/>
              <w:rPr>
                <w:szCs w:val="20"/>
              </w:rPr>
            </w:pPr>
            <w:r w:rsidRPr="00210A5E">
              <w:rPr>
                <w:szCs w:val="20"/>
              </w:rPr>
              <w:t>Single</w:t>
            </w:r>
          </w:p>
        </w:tc>
      </w:tr>
      <w:tr w:rsidR="009034C6" w:rsidRPr="00210A5E" w14:paraId="11251FA4" w14:textId="77777777">
        <w:trPr>
          <w:trHeight w:val="247"/>
        </w:trPr>
        <w:tc>
          <w:tcPr>
            <w:tcW w:w="2346" w:type="dxa"/>
            <w:tcBorders>
              <w:top w:val="nil"/>
              <w:left w:val="nil"/>
              <w:bottom w:val="nil"/>
              <w:right w:val="nil"/>
            </w:tcBorders>
          </w:tcPr>
          <w:p w14:paraId="1944BC9A" w14:textId="77777777" w:rsidR="009034C6" w:rsidRPr="00210A5E" w:rsidRDefault="00784AE8">
            <w:pPr>
              <w:spacing w:after="0" w:line="259" w:lineRule="auto"/>
              <w:ind w:left="114" w:right="0" w:firstLine="0"/>
              <w:jc w:val="left"/>
              <w:rPr>
                <w:szCs w:val="20"/>
              </w:rPr>
            </w:pPr>
            <w:r w:rsidRPr="00210A5E">
              <w:rPr>
                <w:szCs w:val="20"/>
              </w:rPr>
              <w:t>Jones et al.</w:t>
            </w:r>
          </w:p>
        </w:tc>
        <w:tc>
          <w:tcPr>
            <w:tcW w:w="637" w:type="dxa"/>
            <w:tcBorders>
              <w:top w:val="nil"/>
              <w:left w:val="nil"/>
              <w:bottom w:val="nil"/>
              <w:right w:val="nil"/>
            </w:tcBorders>
          </w:tcPr>
          <w:p w14:paraId="7D042F97" w14:textId="77777777" w:rsidR="009034C6" w:rsidRPr="00210A5E" w:rsidRDefault="00784AE8">
            <w:pPr>
              <w:spacing w:after="0" w:line="259" w:lineRule="auto"/>
              <w:ind w:left="0" w:right="0" w:firstLine="0"/>
              <w:jc w:val="left"/>
              <w:rPr>
                <w:szCs w:val="20"/>
              </w:rPr>
            </w:pPr>
            <w:r w:rsidRPr="00210A5E">
              <w:rPr>
                <w:szCs w:val="20"/>
              </w:rPr>
              <w:t>2009</w:t>
            </w:r>
          </w:p>
        </w:tc>
        <w:tc>
          <w:tcPr>
            <w:tcW w:w="1444" w:type="dxa"/>
            <w:tcBorders>
              <w:top w:val="nil"/>
              <w:left w:val="nil"/>
              <w:bottom w:val="nil"/>
              <w:right w:val="nil"/>
            </w:tcBorders>
          </w:tcPr>
          <w:p w14:paraId="24A2B748" w14:textId="77777777" w:rsidR="009034C6" w:rsidRPr="00210A5E" w:rsidRDefault="00784AE8">
            <w:pPr>
              <w:spacing w:after="0" w:line="259" w:lineRule="auto"/>
              <w:ind w:left="0" w:right="0" w:firstLine="0"/>
              <w:jc w:val="left"/>
              <w:rPr>
                <w:szCs w:val="20"/>
              </w:rPr>
            </w:pPr>
            <w:r w:rsidRPr="00210A5E">
              <w:rPr>
                <w:szCs w:val="20"/>
              </w:rPr>
              <w:t>ED census</w:t>
            </w:r>
          </w:p>
        </w:tc>
        <w:tc>
          <w:tcPr>
            <w:tcW w:w="1056" w:type="dxa"/>
            <w:tcBorders>
              <w:top w:val="nil"/>
              <w:left w:val="nil"/>
              <w:bottom w:val="nil"/>
              <w:right w:val="nil"/>
            </w:tcBorders>
          </w:tcPr>
          <w:p w14:paraId="115E0FB7" w14:textId="77777777" w:rsidR="009034C6" w:rsidRPr="00210A5E" w:rsidRDefault="00784AE8">
            <w:pPr>
              <w:spacing w:after="0" w:line="259" w:lineRule="auto"/>
              <w:ind w:left="10" w:right="0" w:firstLine="0"/>
              <w:jc w:val="left"/>
              <w:rPr>
                <w:szCs w:val="20"/>
              </w:rPr>
            </w:pPr>
            <w:r w:rsidRPr="00210A5E">
              <w:rPr>
                <w:szCs w:val="20"/>
              </w:rPr>
              <w:t>24h</w:t>
            </w:r>
          </w:p>
        </w:tc>
        <w:tc>
          <w:tcPr>
            <w:tcW w:w="848" w:type="dxa"/>
            <w:tcBorders>
              <w:top w:val="nil"/>
              <w:left w:val="nil"/>
              <w:bottom w:val="nil"/>
              <w:right w:val="nil"/>
            </w:tcBorders>
          </w:tcPr>
          <w:p w14:paraId="608D88B0" w14:textId="77777777" w:rsidR="009034C6" w:rsidRPr="00210A5E" w:rsidRDefault="00784AE8">
            <w:pPr>
              <w:spacing w:after="0" w:line="259" w:lineRule="auto"/>
              <w:ind w:left="0" w:right="0" w:firstLine="0"/>
              <w:jc w:val="left"/>
              <w:rPr>
                <w:szCs w:val="20"/>
              </w:rPr>
            </w:pPr>
            <w:r w:rsidRPr="00210A5E">
              <w:rPr>
                <w:szCs w:val="20"/>
              </w:rPr>
              <w:t>2 years</w:t>
            </w:r>
          </w:p>
        </w:tc>
        <w:tc>
          <w:tcPr>
            <w:tcW w:w="2279" w:type="dxa"/>
            <w:tcBorders>
              <w:top w:val="nil"/>
              <w:left w:val="nil"/>
              <w:bottom w:val="nil"/>
              <w:right w:val="nil"/>
            </w:tcBorders>
          </w:tcPr>
          <w:p w14:paraId="30C1C465" w14:textId="77777777" w:rsidR="009034C6" w:rsidRPr="00210A5E" w:rsidRDefault="00784AE8">
            <w:pPr>
              <w:spacing w:after="0" w:line="259" w:lineRule="auto"/>
              <w:ind w:left="8" w:right="0" w:firstLine="0"/>
              <w:jc w:val="left"/>
              <w:rPr>
                <w:szCs w:val="20"/>
              </w:rPr>
            </w:pPr>
            <w:r w:rsidRPr="00210A5E">
              <w:rPr>
                <w:szCs w:val="20"/>
              </w:rPr>
              <w:t>VAR; Holt winters</w:t>
            </w:r>
          </w:p>
        </w:tc>
        <w:tc>
          <w:tcPr>
            <w:tcW w:w="1863" w:type="dxa"/>
            <w:tcBorders>
              <w:top w:val="nil"/>
              <w:left w:val="nil"/>
              <w:bottom w:val="nil"/>
              <w:right w:val="nil"/>
            </w:tcBorders>
          </w:tcPr>
          <w:p w14:paraId="14982538" w14:textId="77777777" w:rsidR="009034C6" w:rsidRPr="00210A5E" w:rsidRDefault="00784AE8">
            <w:pPr>
              <w:spacing w:after="0" w:line="259" w:lineRule="auto"/>
              <w:ind w:left="0" w:right="0" w:firstLine="0"/>
              <w:jc w:val="left"/>
              <w:rPr>
                <w:szCs w:val="20"/>
              </w:rPr>
            </w:pPr>
            <w:r w:rsidRPr="00210A5E">
              <w:rPr>
                <w:szCs w:val="20"/>
              </w:rPr>
              <w:t>MAE</w:t>
            </w:r>
          </w:p>
        </w:tc>
        <w:tc>
          <w:tcPr>
            <w:tcW w:w="1356" w:type="dxa"/>
            <w:tcBorders>
              <w:top w:val="nil"/>
              <w:left w:val="nil"/>
              <w:bottom w:val="nil"/>
              <w:right w:val="nil"/>
            </w:tcBorders>
          </w:tcPr>
          <w:p w14:paraId="2BD8969C" w14:textId="77777777" w:rsidR="009034C6" w:rsidRPr="00210A5E" w:rsidRDefault="00784AE8">
            <w:pPr>
              <w:spacing w:after="0" w:line="259" w:lineRule="auto"/>
              <w:ind w:left="0" w:right="0" w:firstLine="0"/>
              <w:jc w:val="left"/>
              <w:rPr>
                <w:szCs w:val="20"/>
              </w:rPr>
            </w:pPr>
            <w:r w:rsidRPr="00210A5E">
              <w:rPr>
                <w:szCs w:val="20"/>
              </w:rPr>
              <w:t>No</w:t>
            </w:r>
          </w:p>
        </w:tc>
        <w:tc>
          <w:tcPr>
            <w:tcW w:w="1114" w:type="dxa"/>
            <w:tcBorders>
              <w:top w:val="nil"/>
              <w:left w:val="nil"/>
              <w:bottom w:val="nil"/>
              <w:right w:val="nil"/>
            </w:tcBorders>
          </w:tcPr>
          <w:p w14:paraId="2F169A2B" w14:textId="77777777" w:rsidR="009034C6" w:rsidRPr="00210A5E" w:rsidRDefault="00784AE8">
            <w:pPr>
              <w:spacing w:after="0" w:line="259" w:lineRule="auto"/>
              <w:ind w:left="0" w:right="0" w:firstLine="0"/>
              <w:jc w:val="left"/>
              <w:rPr>
                <w:szCs w:val="20"/>
              </w:rPr>
            </w:pPr>
            <w:r w:rsidRPr="00210A5E">
              <w:rPr>
                <w:szCs w:val="20"/>
              </w:rPr>
              <w:t>Single</w:t>
            </w:r>
          </w:p>
        </w:tc>
      </w:tr>
      <w:tr w:rsidR="009034C6" w:rsidRPr="00210A5E" w14:paraId="771E5E11" w14:textId="77777777">
        <w:trPr>
          <w:trHeight w:val="493"/>
        </w:trPr>
        <w:tc>
          <w:tcPr>
            <w:tcW w:w="2346" w:type="dxa"/>
            <w:tcBorders>
              <w:top w:val="nil"/>
              <w:left w:val="nil"/>
              <w:bottom w:val="nil"/>
              <w:right w:val="nil"/>
            </w:tcBorders>
          </w:tcPr>
          <w:p w14:paraId="583B9D02" w14:textId="77777777" w:rsidR="009034C6" w:rsidRPr="00210A5E" w:rsidRDefault="00784AE8">
            <w:pPr>
              <w:spacing w:after="0" w:line="259" w:lineRule="auto"/>
              <w:ind w:left="114" w:right="0" w:firstLine="0"/>
              <w:jc w:val="left"/>
              <w:rPr>
                <w:szCs w:val="20"/>
              </w:rPr>
            </w:pPr>
            <w:r w:rsidRPr="00210A5E">
              <w:rPr>
                <w:szCs w:val="20"/>
              </w:rPr>
              <w:t>McCarthy</w:t>
            </w:r>
          </w:p>
        </w:tc>
        <w:tc>
          <w:tcPr>
            <w:tcW w:w="637" w:type="dxa"/>
            <w:tcBorders>
              <w:top w:val="nil"/>
              <w:left w:val="nil"/>
              <w:bottom w:val="nil"/>
              <w:right w:val="nil"/>
            </w:tcBorders>
          </w:tcPr>
          <w:p w14:paraId="02034C0B" w14:textId="77777777" w:rsidR="009034C6" w:rsidRPr="00210A5E" w:rsidRDefault="00784AE8">
            <w:pPr>
              <w:spacing w:after="0" w:line="259" w:lineRule="auto"/>
              <w:ind w:left="0" w:right="0" w:firstLine="0"/>
              <w:jc w:val="left"/>
              <w:rPr>
                <w:szCs w:val="20"/>
              </w:rPr>
            </w:pPr>
            <w:r w:rsidRPr="00210A5E">
              <w:rPr>
                <w:szCs w:val="20"/>
              </w:rPr>
              <w:t>2008</w:t>
            </w:r>
          </w:p>
        </w:tc>
        <w:tc>
          <w:tcPr>
            <w:tcW w:w="1444" w:type="dxa"/>
            <w:tcBorders>
              <w:top w:val="nil"/>
              <w:left w:val="nil"/>
              <w:bottom w:val="nil"/>
              <w:right w:val="nil"/>
            </w:tcBorders>
          </w:tcPr>
          <w:p w14:paraId="5388EE34" w14:textId="77777777" w:rsidR="009034C6" w:rsidRPr="00210A5E" w:rsidRDefault="00784AE8">
            <w:pPr>
              <w:spacing w:after="0" w:line="259" w:lineRule="auto"/>
              <w:ind w:left="0" w:right="0" w:firstLine="0"/>
              <w:jc w:val="left"/>
              <w:rPr>
                <w:szCs w:val="20"/>
              </w:rPr>
            </w:pPr>
            <w:r w:rsidRPr="00210A5E">
              <w:rPr>
                <w:szCs w:val="20"/>
              </w:rPr>
              <w:t>ED arrivals</w:t>
            </w:r>
          </w:p>
        </w:tc>
        <w:tc>
          <w:tcPr>
            <w:tcW w:w="1056" w:type="dxa"/>
            <w:tcBorders>
              <w:top w:val="nil"/>
              <w:left w:val="nil"/>
              <w:bottom w:val="nil"/>
              <w:right w:val="nil"/>
            </w:tcBorders>
          </w:tcPr>
          <w:p w14:paraId="4727212D" w14:textId="77777777" w:rsidR="009034C6" w:rsidRPr="00210A5E" w:rsidRDefault="00784AE8">
            <w:pPr>
              <w:spacing w:after="0" w:line="259" w:lineRule="auto"/>
              <w:ind w:left="10" w:right="0" w:firstLine="0"/>
              <w:jc w:val="left"/>
              <w:rPr>
                <w:szCs w:val="20"/>
              </w:rPr>
            </w:pPr>
            <w:r w:rsidRPr="00210A5E">
              <w:rPr>
                <w:szCs w:val="20"/>
              </w:rPr>
              <w:t>n/a</w:t>
            </w:r>
          </w:p>
        </w:tc>
        <w:tc>
          <w:tcPr>
            <w:tcW w:w="848" w:type="dxa"/>
            <w:tcBorders>
              <w:top w:val="nil"/>
              <w:left w:val="nil"/>
              <w:bottom w:val="nil"/>
              <w:right w:val="nil"/>
            </w:tcBorders>
          </w:tcPr>
          <w:p w14:paraId="4330957D" w14:textId="77777777" w:rsidR="009034C6" w:rsidRPr="00210A5E" w:rsidRDefault="00784AE8">
            <w:pPr>
              <w:spacing w:after="0" w:line="259" w:lineRule="auto"/>
              <w:ind w:left="0" w:right="0" w:firstLine="0"/>
              <w:jc w:val="left"/>
              <w:rPr>
                <w:szCs w:val="20"/>
              </w:rPr>
            </w:pPr>
            <w:r w:rsidRPr="00210A5E">
              <w:rPr>
                <w:szCs w:val="20"/>
              </w:rPr>
              <w:t>1 year</w:t>
            </w:r>
          </w:p>
        </w:tc>
        <w:tc>
          <w:tcPr>
            <w:tcW w:w="2279" w:type="dxa"/>
            <w:tcBorders>
              <w:top w:val="nil"/>
              <w:left w:val="nil"/>
              <w:bottom w:val="nil"/>
              <w:right w:val="nil"/>
            </w:tcBorders>
          </w:tcPr>
          <w:p w14:paraId="39E3A398" w14:textId="77777777" w:rsidR="009034C6" w:rsidRPr="00210A5E" w:rsidRDefault="00784AE8">
            <w:pPr>
              <w:spacing w:after="0" w:line="259" w:lineRule="auto"/>
              <w:ind w:left="8" w:right="0" w:firstLine="0"/>
              <w:jc w:val="left"/>
              <w:rPr>
                <w:szCs w:val="20"/>
              </w:rPr>
            </w:pPr>
            <w:r w:rsidRPr="00210A5E">
              <w:rPr>
                <w:szCs w:val="20"/>
              </w:rPr>
              <w:t>Poisson log-linear regression model</w:t>
            </w:r>
          </w:p>
        </w:tc>
        <w:tc>
          <w:tcPr>
            <w:tcW w:w="1863" w:type="dxa"/>
            <w:tcBorders>
              <w:top w:val="nil"/>
              <w:left w:val="nil"/>
              <w:bottom w:val="nil"/>
              <w:right w:val="nil"/>
            </w:tcBorders>
          </w:tcPr>
          <w:p w14:paraId="6D07C71F" w14:textId="77777777" w:rsidR="009034C6" w:rsidRPr="00210A5E" w:rsidRDefault="00784AE8">
            <w:pPr>
              <w:spacing w:after="0" w:line="259" w:lineRule="auto"/>
              <w:ind w:left="0" w:right="0" w:firstLine="0"/>
              <w:jc w:val="left"/>
              <w:rPr>
                <w:szCs w:val="20"/>
              </w:rPr>
            </w:pPr>
            <w:r w:rsidRPr="00210A5E">
              <w:rPr>
                <w:szCs w:val="20"/>
              </w:rPr>
              <w:t>Prediction interval coverage</w:t>
            </w:r>
          </w:p>
        </w:tc>
        <w:tc>
          <w:tcPr>
            <w:tcW w:w="1356" w:type="dxa"/>
            <w:tcBorders>
              <w:top w:val="nil"/>
              <w:left w:val="nil"/>
              <w:bottom w:val="nil"/>
              <w:right w:val="nil"/>
            </w:tcBorders>
          </w:tcPr>
          <w:p w14:paraId="5E6EE659" w14:textId="77777777" w:rsidR="009034C6" w:rsidRPr="00210A5E" w:rsidRDefault="00784AE8">
            <w:pPr>
              <w:spacing w:after="0" w:line="259" w:lineRule="auto"/>
              <w:ind w:left="0" w:right="0" w:firstLine="0"/>
              <w:jc w:val="left"/>
              <w:rPr>
                <w:szCs w:val="20"/>
              </w:rPr>
            </w:pPr>
            <w:r w:rsidRPr="00210A5E">
              <w:rPr>
                <w:szCs w:val="20"/>
              </w:rPr>
              <w:t>Yes</w:t>
            </w:r>
          </w:p>
        </w:tc>
        <w:tc>
          <w:tcPr>
            <w:tcW w:w="1114" w:type="dxa"/>
            <w:tcBorders>
              <w:top w:val="nil"/>
              <w:left w:val="nil"/>
              <w:bottom w:val="nil"/>
              <w:right w:val="nil"/>
            </w:tcBorders>
          </w:tcPr>
          <w:p w14:paraId="5F87C85C" w14:textId="77777777" w:rsidR="009034C6" w:rsidRPr="00210A5E" w:rsidRDefault="00784AE8">
            <w:pPr>
              <w:spacing w:after="0" w:line="259" w:lineRule="auto"/>
              <w:ind w:left="0" w:right="0" w:firstLine="0"/>
              <w:jc w:val="left"/>
              <w:rPr>
                <w:szCs w:val="20"/>
              </w:rPr>
            </w:pPr>
            <w:r w:rsidRPr="00210A5E">
              <w:rPr>
                <w:szCs w:val="20"/>
              </w:rPr>
              <w:t>Multiple</w:t>
            </w:r>
          </w:p>
        </w:tc>
      </w:tr>
      <w:tr w:rsidR="009034C6" w:rsidRPr="00210A5E" w14:paraId="5A26391B" w14:textId="77777777">
        <w:trPr>
          <w:trHeight w:val="1234"/>
        </w:trPr>
        <w:tc>
          <w:tcPr>
            <w:tcW w:w="2346" w:type="dxa"/>
            <w:tcBorders>
              <w:top w:val="nil"/>
              <w:left w:val="nil"/>
              <w:bottom w:val="nil"/>
              <w:right w:val="nil"/>
            </w:tcBorders>
          </w:tcPr>
          <w:p w14:paraId="630B9A8D" w14:textId="77777777" w:rsidR="009034C6" w:rsidRPr="00210A5E" w:rsidRDefault="00784AE8">
            <w:pPr>
              <w:spacing w:after="0" w:line="259" w:lineRule="auto"/>
              <w:ind w:left="114" w:right="0" w:firstLine="0"/>
              <w:jc w:val="left"/>
              <w:rPr>
                <w:szCs w:val="20"/>
              </w:rPr>
            </w:pPr>
            <w:proofErr w:type="spellStart"/>
            <w:r w:rsidRPr="00210A5E">
              <w:rPr>
                <w:szCs w:val="20"/>
              </w:rPr>
              <w:t>Channouf</w:t>
            </w:r>
            <w:proofErr w:type="spellEnd"/>
            <w:r w:rsidRPr="00210A5E">
              <w:rPr>
                <w:szCs w:val="20"/>
              </w:rPr>
              <w:t xml:space="preserve"> et al.</w:t>
            </w:r>
          </w:p>
        </w:tc>
        <w:tc>
          <w:tcPr>
            <w:tcW w:w="637" w:type="dxa"/>
            <w:tcBorders>
              <w:top w:val="nil"/>
              <w:left w:val="nil"/>
              <w:bottom w:val="nil"/>
              <w:right w:val="nil"/>
            </w:tcBorders>
          </w:tcPr>
          <w:p w14:paraId="4F34EE1C" w14:textId="77777777" w:rsidR="009034C6" w:rsidRPr="00210A5E" w:rsidRDefault="00784AE8">
            <w:pPr>
              <w:spacing w:after="0" w:line="259" w:lineRule="auto"/>
              <w:ind w:left="0" w:right="0" w:firstLine="0"/>
              <w:jc w:val="left"/>
              <w:rPr>
                <w:szCs w:val="20"/>
              </w:rPr>
            </w:pPr>
            <w:r w:rsidRPr="00210A5E">
              <w:rPr>
                <w:szCs w:val="20"/>
              </w:rPr>
              <w:t>2007</w:t>
            </w:r>
          </w:p>
        </w:tc>
        <w:tc>
          <w:tcPr>
            <w:tcW w:w="1444" w:type="dxa"/>
            <w:tcBorders>
              <w:top w:val="nil"/>
              <w:left w:val="nil"/>
              <w:bottom w:val="nil"/>
              <w:right w:val="nil"/>
            </w:tcBorders>
          </w:tcPr>
          <w:p w14:paraId="3C9F8EAD" w14:textId="77777777" w:rsidR="009034C6" w:rsidRPr="00210A5E" w:rsidRDefault="00784AE8">
            <w:pPr>
              <w:spacing w:after="0" w:line="259" w:lineRule="auto"/>
              <w:ind w:left="0" w:right="0" w:firstLine="0"/>
              <w:jc w:val="left"/>
              <w:rPr>
                <w:szCs w:val="20"/>
              </w:rPr>
            </w:pPr>
            <w:r w:rsidRPr="00210A5E">
              <w:rPr>
                <w:szCs w:val="20"/>
              </w:rPr>
              <w:t>Ambulance admission</w:t>
            </w:r>
          </w:p>
        </w:tc>
        <w:tc>
          <w:tcPr>
            <w:tcW w:w="1056" w:type="dxa"/>
            <w:tcBorders>
              <w:top w:val="nil"/>
              <w:left w:val="nil"/>
              <w:bottom w:val="nil"/>
              <w:right w:val="nil"/>
            </w:tcBorders>
          </w:tcPr>
          <w:p w14:paraId="503148E8" w14:textId="77777777" w:rsidR="009034C6" w:rsidRPr="00210A5E" w:rsidRDefault="00784AE8">
            <w:pPr>
              <w:spacing w:after="0" w:line="259" w:lineRule="auto"/>
              <w:ind w:left="10" w:right="0" w:firstLine="0"/>
              <w:jc w:val="left"/>
              <w:rPr>
                <w:szCs w:val="20"/>
              </w:rPr>
            </w:pPr>
            <w:r w:rsidRPr="00210A5E">
              <w:rPr>
                <w:szCs w:val="20"/>
              </w:rPr>
              <w:t>1h, 3h,</w:t>
            </w:r>
          </w:p>
          <w:p w14:paraId="0DC6BFC1" w14:textId="77777777" w:rsidR="009034C6" w:rsidRPr="00210A5E" w:rsidRDefault="00784AE8">
            <w:pPr>
              <w:spacing w:after="0" w:line="259" w:lineRule="auto"/>
              <w:ind w:left="10" w:right="0" w:firstLine="0"/>
              <w:jc w:val="left"/>
              <w:rPr>
                <w:szCs w:val="20"/>
              </w:rPr>
            </w:pPr>
            <w:r w:rsidRPr="00210A5E">
              <w:rPr>
                <w:szCs w:val="20"/>
              </w:rPr>
              <w:t>6h, 12h,</w:t>
            </w:r>
          </w:p>
          <w:p w14:paraId="1CB70FEE" w14:textId="77777777" w:rsidR="009034C6" w:rsidRPr="00210A5E" w:rsidRDefault="00784AE8">
            <w:pPr>
              <w:spacing w:after="0" w:line="259" w:lineRule="auto"/>
              <w:ind w:left="0" w:right="0" w:firstLine="0"/>
              <w:jc w:val="left"/>
              <w:rPr>
                <w:szCs w:val="20"/>
              </w:rPr>
            </w:pPr>
            <w:r w:rsidRPr="00210A5E">
              <w:rPr>
                <w:szCs w:val="20"/>
              </w:rPr>
              <w:t>13h, 14h,</w:t>
            </w:r>
          </w:p>
          <w:p w14:paraId="35EAD582" w14:textId="77777777" w:rsidR="009034C6" w:rsidRPr="00210A5E" w:rsidRDefault="00784AE8">
            <w:pPr>
              <w:spacing w:after="0" w:line="259" w:lineRule="auto"/>
              <w:ind w:left="5" w:right="0" w:hanging="5"/>
              <w:jc w:val="left"/>
              <w:rPr>
                <w:szCs w:val="20"/>
              </w:rPr>
            </w:pPr>
            <w:r w:rsidRPr="00210A5E">
              <w:rPr>
                <w:szCs w:val="20"/>
              </w:rPr>
              <w:t>17h, 23h, 24h</w:t>
            </w:r>
          </w:p>
        </w:tc>
        <w:tc>
          <w:tcPr>
            <w:tcW w:w="848" w:type="dxa"/>
            <w:tcBorders>
              <w:top w:val="nil"/>
              <w:left w:val="nil"/>
              <w:bottom w:val="nil"/>
              <w:right w:val="nil"/>
            </w:tcBorders>
          </w:tcPr>
          <w:p w14:paraId="0D0DB0F9" w14:textId="77777777" w:rsidR="009034C6" w:rsidRPr="00210A5E" w:rsidRDefault="00784AE8">
            <w:pPr>
              <w:spacing w:after="0" w:line="259" w:lineRule="auto"/>
              <w:ind w:left="0" w:right="0" w:firstLine="0"/>
              <w:jc w:val="left"/>
              <w:rPr>
                <w:szCs w:val="20"/>
              </w:rPr>
            </w:pPr>
            <w:r w:rsidRPr="00210A5E">
              <w:rPr>
                <w:szCs w:val="20"/>
              </w:rPr>
              <w:t>2 years</w:t>
            </w:r>
          </w:p>
        </w:tc>
        <w:tc>
          <w:tcPr>
            <w:tcW w:w="2279" w:type="dxa"/>
            <w:tcBorders>
              <w:top w:val="nil"/>
              <w:left w:val="nil"/>
              <w:bottom w:val="nil"/>
              <w:right w:val="nil"/>
            </w:tcBorders>
          </w:tcPr>
          <w:p w14:paraId="614B04A4" w14:textId="77777777" w:rsidR="009034C6" w:rsidRPr="00210A5E" w:rsidRDefault="00784AE8">
            <w:pPr>
              <w:spacing w:after="0" w:line="259" w:lineRule="auto"/>
              <w:ind w:left="8" w:right="0" w:firstLine="0"/>
              <w:jc w:val="left"/>
              <w:rPr>
                <w:szCs w:val="20"/>
              </w:rPr>
            </w:pPr>
            <w:r w:rsidRPr="00210A5E">
              <w:rPr>
                <w:szCs w:val="20"/>
              </w:rPr>
              <w:t>Regression</w:t>
            </w:r>
          </w:p>
        </w:tc>
        <w:tc>
          <w:tcPr>
            <w:tcW w:w="1863" w:type="dxa"/>
            <w:tcBorders>
              <w:top w:val="nil"/>
              <w:left w:val="nil"/>
              <w:bottom w:val="nil"/>
              <w:right w:val="nil"/>
            </w:tcBorders>
          </w:tcPr>
          <w:p w14:paraId="15FDECA9" w14:textId="77777777" w:rsidR="009034C6" w:rsidRPr="00210A5E" w:rsidRDefault="00784AE8">
            <w:pPr>
              <w:spacing w:after="0" w:line="259" w:lineRule="auto"/>
              <w:ind w:left="0" w:right="0" w:firstLine="0"/>
              <w:jc w:val="left"/>
              <w:rPr>
                <w:szCs w:val="20"/>
              </w:rPr>
            </w:pPr>
            <w:r w:rsidRPr="00210A5E">
              <w:rPr>
                <w:szCs w:val="20"/>
              </w:rPr>
              <w:t>RMSE</w:t>
            </w:r>
          </w:p>
        </w:tc>
        <w:tc>
          <w:tcPr>
            <w:tcW w:w="1356" w:type="dxa"/>
            <w:tcBorders>
              <w:top w:val="nil"/>
              <w:left w:val="nil"/>
              <w:bottom w:val="nil"/>
              <w:right w:val="nil"/>
            </w:tcBorders>
          </w:tcPr>
          <w:p w14:paraId="496CC425" w14:textId="77777777" w:rsidR="009034C6" w:rsidRPr="00210A5E" w:rsidRDefault="00784AE8">
            <w:pPr>
              <w:spacing w:after="0" w:line="259" w:lineRule="auto"/>
              <w:ind w:left="0" w:right="0" w:firstLine="0"/>
              <w:jc w:val="left"/>
              <w:rPr>
                <w:szCs w:val="20"/>
              </w:rPr>
            </w:pPr>
            <w:r w:rsidRPr="00210A5E">
              <w:rPr>
                <w:szCs w:val="20"/>
              </w:rPr>
              <w:t>No</w:t>
            </w:r>
          </w:p>
        </w:tc>
        <w:tc>
          <w:tcPr>
            <w:tcW w:w="1114" w:type="dxa"/>
            <w:tcBorders>
              <w:top w:val="nil"/>
              <w:left w:val="nil"/>
              <w:bottom w:val="nil"/>
              <w:right w:val="nil"/>
            </w:tcBorders>
          </w:tcPr>
          <w:p w14:paraId="6CAD947C" w14:textId="77777777" w:rsidR="009034C6" w:rsidRPr="00210A5E" w:rsidRDefault="00784AE8">
            <w:pPr>
              <w:spacing w:after="0" w:line="259" w:lineRule="auto"/>
              <w:ind w:left="0" w:right="0" w:firstLine="0"/>
              <w:jc w:val="left"/>
              <w:rPr>
                <w:szCs w:val="20"/>
              </w:rPr>
            </w:pPr>
            <w:r w:rsidRPr="00210A5E">
              <w:rPr>
                <w:szCs w:val="20"/>
              </w:rPr>
              <w:t>Single</w:t>
            </w:r>
          </w:p>
        </w:tc>
      </w:tr>
      <w:tr w:rsidR="009034C6" w:rsidRPr="00210A5E" w14:paraId="328C187E" w14:textId="77777777" w:rsidTr="00210A5E">
        <w:trPr>
          <w:trHeight w:val="29"/>
        </w:trPr>
        <w:tc>
          <w:tcPr>
            <w:tcW w:w="2346" w:type="dxa"/>
            <w:tcBorders>
              <w:top w:val="nil"/>
              <w:left w:val="nil"/>
              <w:bottom w:val="single" w:sz="6" w:space="0" w:color="000000"/>
              <w:right w:val="nil"/>
            </w:tcBorders>
          </w:tcPr>
          <w:p w14:paraId="0769958E" w14:textId="77777777" w:rsidR="009034C6" w:rsidRPr="00210A5E" w:rsidRDefault="00784AE8">
            <w:pPr>
              <w:spacing w:after="0" w:line="259" w:lineRule="auto"/>
              <w:ind w:left="114" w:right="0" w:firstLine="0"/>
              <w:jc w:val="left"/>
              <w:rPr>
                <w:szCs w:val="20"/>
              </w:rPr>
            </w:pPr>
            <w:proofErr w:type="spellStart"/>
            <w:r w:rsidRPr="00210A5E">
              <w:rPr>
                <w:szCs w:val="20"/>
              </w:rPr>
              <w:t>Morzuch</w:t>
            </w:r>
            <w:proofErr w:type="spellEnd"/>
            <w:r w:rsidRPr="00210A5E">
              <w:rPr>
                <w:szCs w:val="20"/>
              </w:rPr>
              <w:t xml:space="preserve"> and Allen</w:t>
            </w:r>
          </w:p>
        </w:tc>
        <w:tc>
          <w:tcPr>
            <w:tcW w:w="637" w:type="dxa"/>
            <w:tcBorders>
              <w:top w:val="nil"/>
              <w:left w:val="nil"/>
              <w:bottom w:val="single" w:sz="6" w:space="0" w:color="000000"/>
              <w:right w:val="nil"/>
            </w:tcBorders>
          </w:tcPr>
          <w:p w14:paraId="789B2CC4" w14:textId="77777777" w:rsidR="009034C6" w:rsidRPr="00210A5E" w:rsidRDefault="00784AE8">
            <w:pPr>
              <w:spacing w:after="0" w:line="259" w:lineRule="auto"/>
              <w:ind w:left="0" w:right="0" w:firstLine="0"/>
              <w:jc w:val="left"/>
              <w:rPr>
                <w:szCs w:val="20"/>
              </w:rPr>
            </w:pPr>
            <w:r w:rsidRPr="00210A5E">
              <w:rPr>
                <w:szCs w:val="20"/>
              </w:rPr>
              <w:t>2006</w:t>
            </w:r>
          </w:p>
        </w:tc>
        <w:tc>
          <w:tcPr>
            <w:tcW w:w="1444" w:type="dxa"/>
            <w:tcBorders>
              <w:top w:val="nil"/>
              <w:left w:val="nil"/>
              <w:bottom w:val="single" w:sz="6" w:space="0" w:color="000000"/>
              <w:right w:val="nil"/>
            </w:tcBorders>
          </w:tcPr>
          <w:p w14:paraId="741166A4" w14:textId="77777777" w:rsidR="009034C6" w:rsidRPr="00210A5E" w:rsidRDefault="00784AE8">
            <w:pPr>
              <w:spacing w:after="0" w:line="259" w:lineRule="auto"/>
              <w:ind w:left="0" w:right="0" w:firstLine="0"/>
              <w:jc w:val="left"/>
              <w:rPr>
                <w:szCs w:val="20"/>
              </w:rPr>
            </w:pPr>
            <w:r w:rsidRPr="00210A5E">
              <w:rPr>
                <w:szCs w:val="20"/>
              </w:rPr>
              <w:t>ED arrivals</w:t>
            </w:r>
          </w:p>
        </w:tc>
        <w:tc>
          <w:tcPr>
            <w:tcW w:w="1056" w:type="dxa"/>
            <w:tcBorders>
              <w:top w:val="nil"/>
              <w:left w:val="nil"/>
              <w:bottom w:val="single" w:sz="6" w:space="0" w:color="000000"/>
              <w:right w:val="nil"/>
            </w:tcBorders>
          </w:tcPr>
          <w:p w14:paraId="5A9BA321" w14:textId="77777777" w:rsidR="009034C6" w:rsidRPr="00210A5E" w:rsidRDefault="00784AE8">
            <w:pPr>
              <w:spacing w:after="0" w:line="259" w:lineRule="auto"/>
              <w:ind w:left="10" w:right="0" w:firstLine="0"/>
              <w:jc w:val="left"/>
              <w:rPr>
                <w:szCs w:val="20"/>
              </w:rPr>
            </w:pPr>
            <w:r w:rsidRPr="00210A5E">
              <w:rPr>
                <w:szCs w:val="20"/>
              </w:rPr>
              <w:t>168h</w:t>
            </w:r>
          </w:p>
        </w:tc>
        <w:tc>
          <w:tcPr>
            <w:tcW w:w="848" w:type="dxa"/>
            <w:tcBorders>
              <w:top w:val="nil"/>
              <w:left w:val="nil"/>
              <w:bottom w:val="single" w:sz="6" w:space="0" w:color="000000"/>
              <w:right w:val="nil"/>
            </w:tcBorders>
          </w:tcPr>
          <w:p w14:paraId="1FCE0514" w14:textId="77777777" w:rsidR="009034C6" w:rsidRPr="00210A5E" w:rsidRDefault="00784AE8">
            <w:pPr>
              <w:spacing w:after="0" w:line="259" w:lineRule="auto"/>
              <w:ind w:left="0" w:right="0" w:firstLine="0"/>
              <w:jc w:val="left"/>
              <w:rPr>
                <w:szCs w:val="20"/>
              </w:rPr>
            </w:pPr>
            <w:r w:rsidRPr="00210A5E">
              <w:rPr>
                <w:szCs w:val="20"/>
              </w:rPr>
              <w:t>3 years</w:t>
            </w:r>
          </w:p>
        </w:tc>
        <w:tc>
          <w:tcPr>
            <w:tcW w:w="2279" w:type="dxa"/>
            <w:tcBorders>
              <w:top w:val="nil"/>
              <w:left w:val="nil"/>
              <w:bottom w:val="single" w:sz="6" w:space="0" w:color="000000"/>
              <w:right w:val="nil"/>
            </w:tcBorders>
          </w:tcPr>
          <w:p w14:paraId="3DA58CCF" w14:textId="77777777" w:rsidR="009034C6" w:rsidRPr="00210A5E" w:rsidRDefault="00784AE8">
            <w:pPr>
              <w:spacing w:after="0" w:line="259" w:lineRule="auto"/>
              <w:ind w:left="8" w:right="0" w:firstLine="0"/>
              <w:jc w:val="left"/>
              <w:rPr>
                <w:szCs w:val="20"/>
              </w:rPr>
            </w:pPr>
            <w:r w:rsidRPr="00210A5E">
              <w:rPr>
                <w:szCs w:val="20"/>
              </w:rPr>
              <w:t>Double Exponential</w:t>
            </w:r>
          </w:p>
          <w:p w14:paraId="1317B20D" w14:textId="77777777" w:rsidR="009034C6" w:rsidRPr="00210A5E" w:rsidRDefault="00784AE8">
            <w:pPr>
              <w:spacing w:after="0" w:line="259" w:lineRule="auto"/>
              <w:ind w:left="8" w:right="0" w:firstLine="0"/>
              <w:jc w:val="left"/>
              <w:rPr>
                <w:szCs w:val="20"/>
              </w:rPr>
            </w:pPr>
            <w:r w:rsidRPr="00210A5E">
              <w:rPr>
                <w:szCs w:val="20"/>
              </w:rPr>
              <w:t>Smoothing; Additive</w:t>
            </w:r>
          </w:p>
          <w:p w14:paraId="0F164FD4" w14:textId="77777777" w:rsidR="009034C6" w:rsidRPr="00210A5E" w:rsidRDefault="00784AE8">
            <w:pPr>
              <w:spacing w:after="0" w:line="259" w:lineRule="auto"/>
              <w:ind w:left="8" w:right="0" w:firstLine="0"/>
              <w:jc w:val="left"/>
              <w:rPr>
                <w:szCs w:val="20"/>
              </w:rPr>
            </w:pPr>
            <w:r w:rsidRPr="00210A5E">
              <w:rPr>
                <w:szCs w:val="20"/>
              </w:rPr>
              <w:t>Holt Winter</w:t>
            </w:r>
          </w:p>
        </w:tc>
        <w:tc>
          <w:tcPr>
            <w:tcW w:w="1863" w:type="dxa"/>
            <w:tcBorders>
              <w:top w:val="nil"/>
              <w:left w:val="nil"/>
              <w:bottom w:val="single" w:sz="6" w:space="0" w:color="000000"/>
              <w:right w:val="nil"/>
            </w:tcBorders>
          </w:tcPr>
          <w:p w14:paraId="660126D8" w14:textId="77777777" w:rsidR="009034C6" w:rsidRPr="00210A5E" w:rsidRDefault="00784AE8">
            <w:pPr>
              <w:spacing w:after="0" w:line="259" w:lineRule="auto"/>
              <w:ind w:left="0" w:right="0" w:firstLine="0"/>
              <w:jc w:val="left"/>
              <w:rPr>
                <w:szCs w:val="20"/>
              </w:rPr>
            </w:pPr>
            <w:r w:rsidRPr="00210A5E">
              <w:rPr>
                <w:szCs w:val="20"/>
              </w:rPr>
              <w:t>RMSE</w:t>
            </w:r>
          </w:p>
        </w:tc>
        <w:tc>
          <w:tcPr>
            <w:tcW w:w="1356" w:type="dxa"/>
            <w:tcBorders>
              <w:top w:val="nil"/>
              <w:left w:val="nil"/>
              <w:bottom w:val="single" w:sz="6" w:space="0" w:color="000000"/>
              <w:right w:val="nil"/>
            </w:tcBorders>
          </w:tcPr>
          <w:p w14:paraId="553C1A76" w14:textId="77777777" w:rsidR="009034C6" w:rsidRPr="00210A5E" w:rsidRDefault="00784AE8">
            <w:pPr>
              <w:spacing w:after="0" w:line="259" w:lineRule="auto"/>
              <w:ind w:left="0" w:right="0" w:firstLine="0"/>
              <w:jc w:val="left"/>
              <w:rPr>
                <w:szCs w:val="20"/>
              </w:rPr>
            </w:pPr>
            <w:r w:rsidRPr="00210A5E">
              <w:rPr>
                <w:szCs w:val="20"/>
              </w:rPr>
              <w:t>No</w:t>
            </w:r>
          </w:p>
        </w:tc>
        <w:tc>
          <w:tcPr>
            <w:tcW w:w="1114" w:type="dxa"/>
            <w:tcBorders>
              <w:top w:val="nil"/>
              <w:left w:val="nil"/>
              <w:bottom w:val="single" w:sz="6" w:space="0" w:color="000000"/>
              <w:right w:val="nil"/>
            </w:tcBorders>
          </w:tcPr>
          <w:p w14:paraId="7DD01394" w14:textId="77777777" w:rsidR="009034C6" w:rsidRPr="00210A5E" w:rsidRDefault="00784AE8">
            <w:pPr>
              <w:spacing w:after="0" w:line="259" w:lineRule="auto"/>
              <w:ind w:left="0" w:right="0" w:firstLine="0"/>
              <w:jc w:val="left"/>
              <w:rPr>
                <w:szCs w:val="20"/>
              </w:rPr>
            </w:pPr>
            <w:r w:rsidRPr="00210A5E">
              <w:rPr>
                <w:szCs w:val="20"/>
              </w:rPr>
              <w:t>Multiple</w:t>
            </w:r>
          </w:p>
        </w:tc>
      </w:tr>
    </w:tbl>
    <w:p w14:paraId="439459D6" w14:textId="77777777" w:rsidR="009034C6" w:rsidRDefault="009034C6">
      <w:pPr>
        <w:sectPr w:rsidR="009034C6">
          <w:footerReference w:type="even" r:id="rId11"/>
          <w:footerReference w:type="default" r:id="rId12"/>
          <w:footerReference w:type="first" r:id="rId13"/>
          <w:pgSz w:w="15840" w:h="12240" w:orient="landscape"/>
          <w:pgMar w:top="1440" w:right="1440" w:bottom="1440" w:left="1440" w:header="720" w:footer="720" w:gutter="0"/>
          <w:cols w:space="720"/>
        </w:sectPr>
      </w:pPr>
    </w:p>
    <w:p w14:paraId="2D474C32" w14:textId="77777777" w:rsidR="009034C6" w:rsidRDefault="00784AE8">
      <w:pPr>
        <w:ind w:left="13" w:right="0"/>
      </w:pPr>
      <w:r>
        <w:lastRenderedPageBreak/>
        <w:t>Asheim et al. [1] developed a Poisson time-series regression model with continuous day-of-week and week-of-year effects to implement a real-time system that could forecast ED arrivals on 1, 2, 3 hours ahead. Measuring the accuracy using the MAPE, Asheim et al. [1] noticed that significant improvement happened when the time of notification was incorporated into the model, especially in the one-hour horizon.</w:t>
      </w:r>
    </w:p>
    <w:p w14:paraId="2342F1C2" w14:textId="77777777" w:rsidR="009034C6" w:rsidRDefault="00784AE8">
      <w:pPr>
        <w:ind w:left="13" w:right="0"/>
      </w:pPr>
      <w:r>
        <w:t>Cheng et al. [7] used one year of ED visits time series to evaluate the Rolling Average, SARIMAX, ARIMA, VAR and Holt-Winter to forecast ED occupancy up to 4-hours ahead. The forecast accuracy is evaluated using Mean Squared Error (MSE), Mean Absolute Error (MAE) and MAPE for point forecast and coverage for prediction intervals of 80% and 95%. They show that SARIMAX provides a more accurate forecast of hourly ED occupancy.</w:t>
      </w:r>
    </w:p>
    <w:p w14:paraId="5A415FEA" w14:textId="77777777" w:rsidR="009034C6" w:rsidRDefault="00784AE8">
      <w:pPr>
        <w:ind w:left="13" w:right="0"/>
      </w:pPr>
      <w:r>
        <w:t>According to the studies mentioned above, it can be said that they have shown complications in forecasting hourly patient accident and emergency department visits, and the application of forecasting hourly patient visits is not well established. Some of the studies claimed that the accuracy of forecasting models on hourly accident and emergency department data is low [5, 14], while others mentioned that the accuracy of ED hourly forecast is at the acceptable level [8, 23, 29].</w:t>
      </w:r>
    </w:p>
    <w:p w14:paraId="190975F1" w14:textId="77777777" w:rsidR="009034C6" w:rsidRDefault="00784AE8">
      <w:pPr>
        <w:spacing w:after="150"/>
        <w:ind w:left="13" w:right="0"/>
      </w:pPr>
      <w:r>
        <w:t>There are a few limitations in the literature which encourage us to undertake this research and examine different forecasting approaches:</w:t>
      </w:r>
    </w:p>
    <w:p w14:paraId="1AFE618A" w14:textId="77777777" w:rsidR="009034C6" w:rsidRDefault="00784AE8">
      <w:pPr>
        <w:numPr>
          <w:ilvl w:val="0"/>
          <w:numId w:val="2"/>
        </w:numPr>
        <w:ind w:left="582" w:right="0" w:hanging="421"/>
      </w:pPr>
      <w:r>
        <w:t>Current approaches to forecast hourly ED arrivals do not fully consider the feature of data such as multiple seasonal cycles and changing profile over time;</w:t>
      </w:r>
    </w:p>
    <w:p w14:paraId="2BF0AD72" w14:textId="77777777" w:rsidR="009034C6" w:rsidRDefault="00784AE8">
      <w:pPr>
        <w:numPr>
          <w:ilvl w:val="0"/>
          <w:numId w:val="2"/>
        </w:numPr>
        <w:ind w:left="582" w:right="0" w:hanging="421"/>
      </w:pPr>
      <w:r>
        <w:t>Almost all research studies produce point forecasts and, at best, report prediction intervals. There is a lack of studies presenting the entire forecast distribution of hourly ED arrivals that better represent the uncertainty of future arrivals, providing a holistic picture of future demand for a planner;</w:t>
      </w:r>
    </w:p>
    <w:p w14:paraId="4B3ABEBD" w14:textId="77777777" w:rsidR="009034C6" w:rsidRDefault="00784AE8">
      <w:pPr>
        <w:numPr>
          <w:ilvl w:val="0"/>
          <w:numId w:val="2"/>
        </w:numPr>
        <w:ind w:left="582" w:right="0" w:hanging="421"/>
      </w:pPr>
      <w:r>
        <w:t>most studies are not reproducible, as it is almost impossible to reapply the approaches without the help of the authors of those papers;</w:t>
      </w:r>
    </w:p>
    <w:p w14:paraId="27B427B6" w14:textId="419F741C" w:rsidR="009034C6" w:rsidRDefault="00784AE8">
      <w:pPr>
        <w:numPr>
          <w:ilvl w:val="0"/>
          <w:numId w:val="2"/>
        </w:numPr>
        <w:ind w:left="582" w:right="0" w:hanging="421"/>
      </w:pPr>
      <w:r>
        <w:t>studies are limited in terms of the length of historical data used for training purposes and forecast performance evaluation</w:t>
      </w:r>
      <w:r w:rsidR="00210A5E">
        <w:t>;</w:t>
      </w:r>
      <w:r>
        <w:t xml:space="preserve"> and</w:t>
      </w:r>
    </w:p>
    <w:p w14:paraId="45643CCB" w14:textId="77777777" w:rsidR="009034C6" w:rsidRDefault="00784AE8">
      <w:pPr>
        <w:numPr>
          <w:ilvl w:val="0"/>
          <w:numId w:val="2"/>
        </w:numPr>
        <w:spacing w:after="349"/>
        <w:ind w:left="582" w:right="0" w:hanging="421"/>
      </w:pPr>
      <w:r>
        <w:t>some studies in this area lack a rigorous experimental design, i.e. they do not use benchmark methods or report forecast accuracy.</w:t>
      </w:r>
    </w:p>
    <w:p w14:paraId="317D231F" w14:textId="77777777" w:rsidR="009034C6" w:rsidRDefault="00784AE8">
      <w:pPr>
        <w:pStyle w:val="Heading1"/>
        <w:ind w:left="306" w:hanging="293"/>
      </w:pPr>
      <w:r>
        <w:t>Preliminary analysis</w:t>
      </w:r>
    </w:p>
    <w:p w14:paraId="28B91AE7" w14:textId="77777777" w:rsidR="009034C6" w:rsidRDefault="00784AE8">
      <w:pPr>
        <w:spacing w:after="11" w:line="226" w:lineRule="auto"/>
        <w:ind w:left="13" w:right="0" w:firstLine="296"/>
        <w:jc w:val="left"/>
      </w:pPr>
      <w:r>
        <w:t>Data used in this study comprises counts of patients’ arrival times at one of the largest ED units in the UK between April 2014 and February 2019, extracted from the ED administrative database of the hospital. We aggregated the patients’ arrival times to obtain hourly arrivals, which are used in this study. Figure 1 illustrates the distribution of arrivals for each hour of the day and the day of the week.</w:t>
      </w:r>
    </w:p>
    <w:p w14:paraId="6049E410" w14:textId="77777777" w:rsidR="009034C6" w:rsidRDefault="00784AE8">
      <w:pPr>
        <w:ind w:left="13" w:right="0" w:firstLine="0"/>
      </w:pPr>
      <w:r>
        <w:t>Although the data is noisy, it reveals some systematic patterns.</w:t>
      </w:r>
    </w:p>
    <w:p w14:paraId="0DBF12FB" w14:textId="77777777" w:rsidR="009034C6" w:rsidRDefault="00784AE8">
      <w:pPr>
        <w:spacing w:after="406" w:line="259" w:lineRule="auto"/>
        <w:ind w:left="353" w:right="0" w:firstLine="0"/>
        <w:jc w:val="left"/>
      </w:pPr>
      <w:r>
        <w:rPr>
          <w:noProof/>
          <w:sz w:val="22"/>
        </w:rPr>
        <w:lastRenderedPageBreak/>
        <mc:AlternateContent>
          <mc:Choice Requires="wpg">
            <w:drawing>
              <wp:inline distT="0" distB="0" distL="0" distR="0" wp14:anchorId="535FC0B2" wp14:editId="1B7058B7">
                <wp:extent cx="5220145" cy="3733800"/>
                <wp:effectExtent l="0" t="0" r="0" b="0"/>
                <wp:docPr id="66566" name="Group 66566"/>
                <wp:cNvGraphicFramePr/>
                <a:graphic xmlns:a="http://schemas.openxmlformats.org/drawingml/2006/main">
                  <a:graphicData uri="http://schemas.microsoft.com/office/word/2010/wordprocessingGroup">
                    <wpg:wgp>
                      <wpg:cNvGrpSpPr/>
                      <wpg:grpSpPr>
                        <a:xfrm>
                          <a:off x="0" y="0"/>
                          <a:ext cx="5220145" cy="3733800"/>
                          <a:chOff x="0" y="0"/>
                          <a:chExt cx="5220145" cy="3733800"/>
                        </a:xfrm>
                      </wpg:grpSpPr>
                      <pic:pic xmlns:pic="http://schemas.openxmlformats.org/drawingml/2006/picture">
                        <pic:nvPicPr>
                          <pic:cNvPr id="66515" name="Picture 66515"/>
                          <pic:cNvPicPr/>
                        </pic:nvPicPr>
                        <pic:blipFill>
                          <a:blip r:embed="rId14"/>
                          <a:stretch>
                            <a:fillRect/>
                          </a:stretch>
                        </pic:blipFill>
                        <pic:spPr>
                          <a:xfrm>
                            <a:off x="382969" y="0"/>
                            <a:ext cx="4837176" cy="3733800"/>
                          </a:xfrm>
                          <a:prstGeom prst="rect">
                            <a:avLst/>
                          </a:prstGeom>
                        </pic:spPr>
                      </pic:pic>
                      <wps:wsp>
                        <wps:cNvPr id="1175" name="Rectangle 1175"/>
                        <wps:cNvSpPr/>
                        <wps:spPr>
                          <a:xfrm rot="-5399999">
                            <a:off x="-352683" y="123691"/>
                            <a:ext cx="942923" cy="237555"/>
                          </a:xfrm>
                          <a:prstGeom prst="rect">
                            <a:avLst/>
                          </a:prstGeom>
                          <a:ln>
                            <a:noFill/>
                          </a:ln>
                        </wps:spPr>
                        <wps:txbx>
                          <w:txbxContent>
                            <w:p w14:paraId="4B3CBAAB" w14:textId="77777777" w:rsidR="009034C6" w:rsidRDefault="00784AE8">
                              <w:pPr>
                                <w:spacing w:after="160" w:line="259" w:lineRule="auto"/>
                                <w:ind w:left="0" w:right="0" w:firstLine="0"/>
                                <w:jc w:val="left"/>
                              </w:pPr>
                              <w:r>
                                <w:rPr>
                                  <w:rFonts w:ascii="Roboto" w:eastAsia="Roboto" w:hAnsi="Roboto" w:cs="Roboto"/>
                                  <w:sz w:val="24"/>
                                </w:rPr>
                                <w:t>Hour of Day</w:t>
                              </w:r>
                            </w:p>
                          </w:txbxContent>
                        </wps:txbx>
                        <wps:bodyPr horzOverflow="overflow" vert="horz" lIns="0" tIns="0" rIns="0" bIns="0" rtlCol="0">
                          <a:noAutofit/>
                        </wps:bodyPr>
                      </wps:wsp>
                    </wpg:wgp>
                  </a:graphicData>
                </a:graphic>
              </wp:inline>
            </w:drawing>
          </mc:Choice>
          <mc:Fallback xmlns:a="http://schemas.openxmlformats.org/drawingml/2006/main">
            <w:pict>
              <v:group id="Group 66566" style="width:411.035pt;height:294pt;mso-position-horizontal-relative:char;mso-position-vertical-relative:line" coordsize="52201,37338">
                <v:shape id="Picture 66515" style="position:absolute;width:48371;height:37338;left:3829;top:0;" filled="f">
                  <v:imagedata r:id="rId15"/>
                </v:shape>
                <v:rect id="Rectangle 1175" style="position:absolute;width:9429;height:2375;left:-3526;top:1236;rotation:270;" filled="f" stroked="f">
                  <v:textbox inset="0,0,0,0" style="layout-flow:vertical;mso-layout-flow-alt:bottom-to-top">
                    <w:txbxContent>
                      <w:p>
                        <w:pPr>
                          <w:spacing w:before="0" w:after="160" w:line="259" w:lineRule="auto"/>
                          <w:ind w:left="0" w:right="0" w:firstLine="0"/>
                          <w:jc w:val="left"/>
                        </w:pPr>
                        <w:r>
                          <w:rPr>
                            <w:rFonts w:cs="Roboto" w:hAnsi="Roboto" w:eastAsia="Roboto" w:ascii="Roboto"/>
                            <w:sz w:val="24"/>
                          </w:rPr>
                          <w:t xml:space="preserve">Hour of Day</w:t>
                        </w:r>
                      </w:p>
                    </w:txbxContent>
                  </v:textbox>
                </v:rect>
              </v:group>
            </w:pict>
          </mc:Fallback>
        </mc:AlternateContent>
      </w:r>
    </w:p>
    <w:p w14:paraId="7647E080" w14:textId="77777777" w:rsidR="009034C6" w:rsidRDefault="00784AE8">
      <w:pPr>
        <w:tabs>
          <w:tab w:val="center" w:pos="5129"/>
          <w:tab w:val="center" w:pos="8049"/>
        </w:tabs>
        <w:spacing w:after="206" w:line="259" w:lineRule="auto"/>
        <w:ind w:left="0" w:right="0" w:firstLine="0"/>
        <w:jc w:val="left"/>
      </w:pPr>
      <w:r>
        <w:rPr>
          <w:sz w:val="22"/>
        </w:rPr>
        <w:tab/>
      </w:r>
      <w:r>
        <w:rPr>
          <w:noProof/>
          <w:sz w:val="22"/>
        </w:rPr>
        <mc:AlternateContent>
          <mc:Choice Requires="wpg">
            <w:drawing>
              <wp:inline distT="0" distB="0" distL="0" distR="0" wp14:anchorId="4008151C" wp14:editId="111EA898">
                <wp:extent cx="3449193" cy="201422"/>
                <wp:effectExtent l="0" t="0" r="0" b="0"/>
                <wp:docPr id="66127" name="Group 66127"/>
                <wp:cNvGraphicFramePr/>
                <a:graphic xmlns:a="http://schemas.openxmlformats.org/drawingml/2006/main">
                  <a:graphicData uri="http://schemas.microsoft.com/office/word/2010/wordprocessingGroup">
                    <wpg:wgp>
                      <wpg:cNvGrpSpPr/>
                      <wpg:grpSpPr>
                        <a:xfrm>
                          <a:off x="0" y="0"/>
                          <a:ext cx="3449193" cy="201422"/>
                          <a:chOff x="0" y="0"/>
                          <a:chExt cx="3449193" cy="201422"/>
                        </a:xfrm>
                      </wpg:grpSpPr>
                      <wps:wsp>
                        <wps:cNvPr id="67665" name="Shape 67665"/>
                        <wps:cNvSpPr/>
                        <wps:spPr>
                          <a:xfrm>
                            <a:off x="0" y="0"/>
                            <a:ext cx="201422" cy="201422"/>
                          </a:xfrm>
                          <a:custGeom>
                            <a:avLst/>
                            <a:gdLst/>
                            <a:ahLst/>
                            <a:cxnLst/>
                            <a:rect l="0" t="0" r="0" b="0"/>
                            <a:pathLst>
                              <a:path w="201422" h="201422">
                                <a:moveTo>
                                  <a:pt x="0" y="0"/>
                                </a:moveTo>
                                <a:lnTo>
                                  <a:pt x="201422" y="0"/>
                                </a:lnTo>
                                <a:lnTo>
                                  <a:pt x="201422" y="201422"/>
                                </a:lnTo>
                                <a:lnTo>
                                  <a:pt x="0" y="201422"/>
                                </a:lnTo>
                                <a:lnTo>
                                  <a:pt x="0" y="0"/>
                                </a:lnTo>
                              </a:path>
                            </a:pathLst>
                          </a:custGeom>
                          <a:ln w="0" cap="rnd">
                            <a:miter lim="127000"/>
                          </a:ln>
                        </wps:spPr>
                        <wps:style>
                          <a:lnRef idx="0">
                            <a:srgbClr val="FFFFFF"/>
                          </a:lnRef>
                          <a:fillRef idx="1">
                            <a:srgbClr val="D45E00">
                              <a:alpha val="90196"/>
                            </a:srgbClr>
                          </a:fillRef>
                          <a:effectRef idx="0">
                            <a:scrgbClr r="0" g="0" b="0"/>
                          </a:effectRef>
                          <a:fontRef idx="none"/>
                        </wps:style>
                        <wps:bodyPr/>
                      </wps:wsp>
                      <wps:wsp>
                        <wps:cNvPr id="67666" name="Shape 67666"/>
                        <wps:cNvSpPr/>
                        <wps:spPr>
                          <a:xfrm>
                            <a:off x="541020" y="0"/>
                            <a:ext cx="201422" cy="201422"/>
                          </a:xfrm>
                          <a:custGeom>
                            <a:avLst/>
                            <a:gdLst/>
                            <a:ahLst/>
                            <a:cxnLst/>
                            <a:rect l="0" t="0" r="0" b="0"/>
                            <a:pathLst>
                              <a:path w="201422" h="201422">
                                <a:moveTo>
                                  <a:pt x="0" y="0"/>
                                </a:moveTo>
                                <a:lnTo>
                                  <a:pt x="201422" y="0"/>
                                </a:lnTo>
                                <a:lnTo>
                                  <a:pt x="201422" y="201422"/>
                                </a:lnTo>
                                <a:lnTo>
                                  <a:pt x="0" y="201422"/>
                                </a:lnTo>
                                <a:lnTo>
                                  <a:pt x="0" y="0"/>
                                </a:lnTo>
                              </a:path>
                            </a:pathLst>
                          </a:custGeom>
                          <a:ln w="0" cap="rnd">
                            <a:miter lim="127000"/>
                          </a:ln>
                        </wps:spPr>
                        <wps:style>
                          <a:lnRef idx="0">
                            <a:srgbClr val="FFFFFF"/>
                          </a:lnRef>
                          <a:fillRef idx="1">
                            <a:srgbClr val="55B4E9">
                              <a:alpha val="90196"/>
                            </a:srgbClr>
                          </a:fillRef>
                          <a:effectRef idx="0">
                            <a:scrgbClr r="0" g="0" b="0"/>
                          </a:effectRef>
                          <a:fontRef idx="none"/>
                        </wps:style>
                        <wps:bodyPr/>
                      </wps:wsp>
                      <wps:wsp>
                        <wps:cNvPr id="67667" name="Shape 67667"/>
                        <wps:cNvSpPr/>
                        <wps:spPr>
                          <a:xfrm>
                            <a:off x="1111377" y="0"/>
                            <a:ext cx="201422" cy="201422"/>
                          </a:xfrm>
                          <a:custGeom>
                            <a:avLst/>
                            <a:gdLst/>
                            <a:ahLst/>
                            <a:cxnLst/>
                            <a:rect l="0" t="0" r="0" b="0"/>
                            <a:pathLst>
                              <a:path w="201422" h="201422">
                                <a:moveTo>
                                  <a:pt x="0" y="0"/>
                                </a:moveTo>
                                <a:lnTo>
                                  <a:pt x="201422" y="0"/>
                                </a:lnTo>
                                <a:lnTo>
                                  <a:pt x="201422" y="201422"/>
                                </a:lnTo>
                                <a:lnTo>
                                  <a:pt x="0" y="201422"/>
                                </a:lnTo>
                                <a:lnTo>
                                  <a:pt x="0" y="0"/>
                                </a:lnTo>
                              </a:path>
                            </a:pathLst>
                          </a:custGeom>
                          <a:ln w="0" cap="rnd">
                            <a:miter lim="127000"/>
                          </a:ln>
                        </wps:spPr>
                        <wps:style>
                          <a:lnRef idx="0">
                            <a:srgbClr val="FFFFFF"/>
                          </a:lnRef>
                          <a:fillRef idx="1">
                            <a:srgbClr val="E69F00">
                              <a:alpha val="90196"/>
                            </a:srgbClr>
                          </a:fillRef>
                          <a:effectRef idx="0">
                            <a:scrgbClr r="0" g="0" b="0"/>
                          </a:effectRef>
                          <a:fontRef idx="none"/>
                        </wps:style>
                        <wps:bodyPr/>
                      </wps:wsp>
                      <wps:wsp>
                        <wps:cNvPr id="67668" name="Shape 67668"/>
                        <wps:cNvSpPr/>
                        <wps:spPr>
                          <a:xfrm>
                            <a:off x="1650873" y="0"/>
                            <a:ext cx="201422" cy="201422"/>
                          </a:xfrm>
                          <a:custGeom>
                            <a:avLst/>
                            <a:gdLst/>
                            <a:ahLst/>
                            <a:cxnLst/>
                            <a:rect l="0" t="0" r="0" b="0"/>
                            <a:pathLst>
                              <a:path w="201422" h="201422">
                                <a:moveTo>
                                  <a:pt x="0" y="0"/>
                                </a:moveTo>
                                <a:lnTo>
                                  <a:pt x="201422" y="0"/>
                                </a:lnTo>
                                <a:lnTo>
                                  <a:pt x="201422" y="201422"/>
                                </a:lnTo>
                                <a:lnTo>
                                  <a:pt x="0" y="201422"/>
                                </a:lnTo>
                                <a:lnTo>
                                  <a:pt x="0" y="0"/>
                                </a:lnTo>
                              </a:path>
                            </a:pathLst>
                          </a:custGeom>
                          <a:ln w="0" cap="rnd">
                            <a:miter lim="127000"/>
                          </a:ln>
                        </wps:spPr>
                        <wps:style>
                          <a:lnRef idx="0">
                            <a:srgbClr val="FFFFFF"/>
                          </a:lnRef>
                          <a:fillRef idx="1">
                            <a:srgbClr val="009E73">
                              <a:alpha val="90196"/>
                            </a:srgbClr>
                          </a:fillRef>
                          <a:effectRef idx="0">
                            <a:scrgbClr r="0" g="0" b="0"/>
                          </a:effectRef>
                          <a:fontRef idx="none"/>
                        </wps:style>
                        <wps:bodyPr/>
                      </wps:wsp>
                      <wps:wsp>
                        <wps:cNvPr id="67669" name="Shape 67669"/>
                        <wps:cNvSpPr/>
                        <wps:spPr>
                          <a:xfrm>
                            <a:off x="2219452" y="0"/>
                            <a:ext cx="201422" cy="201422"/>
                          </a:xfrm>
                          <a:custGeom>
                            <a:avLst/>
                            <a:gdLst/>
                            <a:ahLst/>
                            <a:cxnLst/>
                            <a:rect l="0" t="0" r="0" b="0"/>
                            <a:pathLst>
                              <a:path w="201422" h="201422">
                                <a:moveTo>
                                  <a:pt x="0" y="0"/>
                                </a:moveTo>
                                <a:lnTo>
                                  <a:pt x="201422" y="0"/>
                                </a:lnTo>
                                <a:lnTo>
                                  <a:pt x="201422" y="201422"/>
                                </a:lnTo>
                                <a:lnTo>
                                  <a:pt x="0" y="201422"/>
                                </a:lnTo>
                                <a:lnTo>
                                  <a:pt x="0" y="0"/>
                                </a:lnTo>
                              </a:path>
                            </a:pathLst>
                          </a:custGeom>
                          <a:ln w="0" cap="rnd">
                            <a:miter lim="127000"/>
                          </a:ln>
                        </wps:spPr>
                        <wps:style>
                          <a:lnRef idx="0">
                            <a:srgbClr val="FFFFFF"/>
                          </a:lnRef>
                          <a:fillRef idx="1">
                            <a:srgbClr val="CC79A7">
                              <a:alpha val="90196"/>
                            </a:srgbClr>
                          </a:fillRef>
                          <a:effectRef idx="0">
                            <a:scrgbClr r="0" g="0" b="0"/>
                          </a:effectRef>
                          <a:fontRef idx="none"/>
                        </wps:style>
                        <wps:bodyPr/>
                      </wps:wsp>
                      <wps:wsp>
                        <wps:cNvPr id="67670" name="Shape 67670"/>
                        <wps:cNvSpPr/>
                        <wps:spPr>
                          <a:xfrm>
                            <a:off x="2760726" y="0"/>
                            <a:ext cx="201422" cy="201422"/>
                          </a:xfrm>
                          <a:custGeom>
                            <a:avLst/>
                            <a:gdLst/>
                            <a:ahLst/>
                            <a:cxnLst/>
                            <a:rect l="0" t="0" r="0" b="0"/>
                            <a:pathLst>
                              <a:path w="201422" h="201422">
                                <a:moveTo>
                                  <a:pt x="0" y="0"/>
                                </a:moveTo>
                                <a:lnTo>
                                  <a:pt x="201422" y="0"/>
                                </a:lnTo>
                                <a:lnTo>
                                  <a:pt x="201422" y="201422"/>
                                </a:lnTo>
                                <a:lnTo>
                                  <a:pt x="0" y="201422"/>
                                </a:lnTo>
                                <a:lnTo>
                                  <a:pt x="0" y="0"/>
                                </a:lnTo>
                              </a:path>
                            </a:pathLst>
                          </a:custGeom>
                          <a:ln w="0" cap="rnd">
                            <a:miter lim="127000"/>
                          </a:ln>
                        </wps:spPr>
                        <wps:style>
                          <a:lnRef idx="0">
                            <a:srgbClr val="FFFFFF"/>
                          </a:lnRef>
                          <a:fillRef idx="1">
                            <a:srgbClr val="EFE342">
                              <a:alpha val="90196"/>
                            </a:srgbClr>
                          </a:fillRef>
                          <a:effectRef idx="0">
                            <a:scrgbClr r="0" g="0" b="0"/>
                          </a:effectRef>
                          <a:fontRef idx="none"/>
                        </wps:style>
                        <wps:bodyPr/>
                      </wps:wsp>
                      <wps:wsp>
                        <wps:cNvPr id="67671" name="Shape 67671"/>
                        <wps:cNvSpPr/>
                        <wps:spPr>
                          <a:xfrm>
                            <a:off x="3247771" y="0"/>
                            <a:ext cx="201422" cy="201422"/>
                          </a:xfrm>
                          <a:custGeom>
                            <a:avLst/>
                            <a:gdLst/>
                            <a:ahLst/>
                            <a:cxnLst/>
                            <a:rect l="0" t="0" r="0" b="0"/>
                            <a:pathLst>
                              <a:path w="201422" h="201422">
                                <a:moveTo>
                                  <a:pt x="0" y="0"/>
                                </a:moveTo>
                                <a:lnTo>
                                  <a:pt x="201422" y="0"/>
                                </a:lnTo>
                                <a:lnTo>
                                  <a:pt x="201422" y="201422"/>
                                </a:lnTo>
                                <a:lnTo>
                                  <a:pt x="0" y="201422"/>
                                </a:lnTo>
                                <a:lnTo>
                                  <a:pt x="0" y="0"/>
                                </a:lnTo>
                              </a:path>
                            </a:pathLst>
                          </a:custGeom>
                          <a:ln w="0" cap="rnd">
                            <a:miter lim="127000"/>
                          </a:ln>
                        </wps:spPr>
                        <wps:style>
                          <a:lnRef idx="0">
                            <a:srgbClr val="FFFFFF"/>
                          </a:lnRef>
                          <a:fillRef idx="1">
                            <a:srgbClr val="999999">
                              <a:alpha val="90196"/>
                            </a:srgbClr>
                          </a:fillRef>
                          <a:effectRef idx="0">
                            <a:scrgbClr r="0" g="0" b="0"/>
                          </a:effectRef>
                          <a:fontRef idx="none"/>
                        </wps:style>
                        <wps:bodyPr/>
                      </wps:wsp>
                      <wps:wsp>
                        <wps:cNvPr id="1183" name="Rectangle 1183"/>
                        <wps:cNvSpPr/>
                        <wps:spPr>
                          <a:xfrm>
                            <a:off x="286385" y="35281"/>
                            <a:ext cx="225805" cy="178166"/>
                          </a:xfrm>
                          <a:prstGeom prst="rect">
                            <a:avLst/>
                          </a:prstGeom>
                          <a:ln>
                            <a:noFill/>
                          </a:ln>
                        </wps:spPr>
                        <wps:txbx>
                          <w:txbxContent>
                            <w:p w14:paraId="5A7E00EB" w14:textId="77777777" w:rsidR="009034C6" w:rsidRDefault="00784AE8">
                              <w:pPr>
                                <w:spacing w:after="160" w:line="259" w:lineRule="auto"/>
                                <w:ind w:left="0" w:right="0" w:firstLine="0"/>
                                <w:jc w:val="left"/>
                              </w:pPr>
                              <w:r>
                                <w:rPr>
                                  <w:rFonts w:ascii="Roboto" w:eastAsia="Roboto" w:hAnsi="Roboto" w:cs="Roboto"/>
                                  <w:sz w:val="18"/>
                                </w:rPr>
                                <w:t>Sun</w:t>
                              </w:r>
                            </w:p>
                          </w:txbxContent>
                        </wps:txbx>
                        <wps:bodyPr horzOverflow="overflow" vert="horz" lIns="0" tIns="0" rIns="0" bIns="0" rtlCol="0">
                          <a:noAutofit/>
                        </wps:bodyPr>
                      </wps:wsp>
                      <wps:wsp>
                        <wps:cNvPr id="1184" name="Rectangle 1184"/>
                        <wps:cNvSpPr/>
                        <wps:spPr>
                          <a:xfrm>
                            <a:off x="827405" y="35281"/>
                            <a:ext cx="264722" cy="178166"/>
                          </a:xfrm>
                          <a:prstGeom prst="rect">
                            <a:avLst/>
                          </a:prstGeom>
                          <a:ln>
                            <a:noFill/>
                          </a:ln>
                        </wps:spPr>
                        <wps:txbx>
                          <w:txbxContent>
                            <w:p w14:paraId="34DBE9CD" w14:textId="77777777" w:rsidR="009034C6" w:rsidRDefault="00784AE8">
                              <w:pPr>
                                <w:spacing w:after="160" w:line="259" w:lineRule="auto"/>
                                <w:ind w:left="0" w:right="0" w:firstLine="0"/>
                                <w:jc w:val="left"/>
                              </w:pPr>
                              <w:r>
                                <w:rPr>
                                  <w:rFonts w:ascii="Roboto" w:eastAsia="Roboto" w:hAnsi="Roboto" w:cs="Roboto"/>
                                  <w:sz w:val="18"/>
                                </w:rPr>
                                <w:t>Mon</w:t>
                              </w:r>
                            </w:p>
                          </w:txbxContent>
                        </wps:txbx>
                        <wps:bodyPr horzOverflow="overflow" vert="horz" lIns="0" tIns="0" rIns="0" bIns="0" rtlCol="0">
                          <a:noAutofit/>
                        </wps:bodyPr>
                      </wps:wsp>
                      <wps:wsp>
                        <wps:cNvPr id="1185" name="Rectangle 1185"/>
                        <wps:cNvSpPr/>
                        <wps:spPr>
                          <a:xfrm>
                            <a:off x="1397635" y="35281"/>
                            <a:ext cx="223886" cy="178166"/>
                          </a:xfrm>
                          <a:prstGeom prst="rect">
                            <a:avLst/>
                          </a:prstGeom>
                          <a:ln>
                            <a:noFill/>
                          </a:ln>
                        </wps:spPr>
                        <wps:txbx>
                          <w:txbxContent>
                            <w:p w14:paraId="247B8769" w14:textId="77777777" w:rsidR="009034C6" w:rsidRDefault="00784AE8">
                              <w:pPr>
                                <w:spacing w:after="160" w:line="259" w:lineRule="auto"/>
                                <w:ind w:left="0" w:right="0" w:firstLine="0"/>
                                <w:jc w:val="left"/>
                              </w:pPr>
                              <w:r>
                                <w:rPr>
                                  <w:rFonts w:ascii="Roboto" w:eastAsia="Roboto" w:hAnsi="Roboto" w:cs="Roboto"/>
                                  <w:sz w:val="18"/>
                                </w:rPr>
                                <w:t>Tue</w:t>
                              </w:r>
                            </w:p>
                          </w:txbxContent>
                        </wps:txbx>
                        <wps:bodyPr horzOverflow="overflow" vert="horz" lIns="0" tIns="0" rIns="0" bIns="0" rtlCol="0">
                          <a:noAutofit/>
                        </wps:bodyPr>
                      </wps:wsp>
                      <wps:wsp>
                        <wps:cNvPr id="1186" name="Rectangle 1186"/>
                        <wps:cNvSpPr/>
                        <wps:spPr>
                          <a:xfrm>
                            <a:off x="1937258" y="35281"/>
                            <a:ext cx="262399" cy="178166"/>
                          </a:xfrm>
                          <a:prstGeom prst="rect">
                            <a:avLst/>
                          </a:prstGeom>
                          <a:ln>
                            <a:noFill/>
                          </a:ln>
                        </wps:spPr>
                        <wps:txbx>
                          <w:txbxContent>
                            <w:p w14:paraId="3DEB73D0" w14:textId="77777777" w:rsidR="009034C6" w:rsidRDefault="00784AE8">
                              <w:pPr>
                                <w:spacing w:after="160" w:line="259" w:lineRule="auto"/>
                                <w:ind w:left="0" w:right="0" w:firstLine="0"/>
                                <w:jc w:val="left"/>
                              </w:pPr>
                              <w:r>
                                <w:rPr>
                                  <w:rFonts w:ascii="Roboto" w:eastAsia="Roboto" w:hAnsi="Roboto" w:cs="Roboto"/>
                                  <w:sz w:val="18"/>
                                </w:rPr>
                                <w:t>Wed</w:t>
                              </w:r>
                            </w:p>
                          </w:txbxContent>
                        </wps:txbx>
                        <wps:bodyPr horzOverflow="overflow" vert="horz" lIns="0" tIns="0" rIns="0" bIns="0" rtlCol="0">
                          <a:noAutofit/>
                        </wps:bodyPr>
                      </wps:wsp>
                      <wps:wsp>
                        <wps:cNvPr id="1187" name="Rectangle 1187"/>
                        <wps:cNvSpPr/>
                        <wps:spPr>
                          <a:xfrm>
                            <a:off x="2505837" y="35281"/>
                            <a:ext cx="226113" cy="178166"/>
                          </a:xfrm>
                          <a:prstGeom prst="rect">
                            <a:avLst/>
                          </a:prstGeom>
                          <a:ln>
                            <a:noFill/>
                          </a:ln>
                        </wps:spPr>
                        <wps:txbx>
                          <w:txbxContent>
                            <w:p w14:paraId="417F9E62" w14:textId="77777777" w:rsidR="009034C6" w:rsidRDefault="00784AE8">
                              <w:pPr>
                                <w:spacing w:after="160" w:line="259" w:lineRule="auto"/>
                                <w:ind w:left="0" w:right="0" w:firstLine="0"/>
                                <w:jc w:val="left"/>
                              </w:pPr>
                              <w:r>
                                <w:rPr>
                                  <w:rFonts w:ascii="Roboto" w:eastAsia="Roboto" w:hAnsi="Roboto" w:cs="Roboto"/>
                                  <w:sz w:val="18"/>
                                </w:rPr>
                                <w:t>Thu</w:t>
                              </w:r>
                            </w:p>
                          </w:txbxContent>
                        </wps:txbx>
                        <wps:bodyPr horzOverflow="overflow" vert="horz" lIns="0" tIns="0" rIns="0" bIns="0" rtlCol="0">
                          <a:noAutofit/>
                        </wps:bodyPr>
                      </wps:wsp>
                      <wps:wsp>
                        <wps:cNvPr id="1188" name="Rectangle 1188"/>
                        <wps:cNvSpPr/>
                        <wps:spPr>
                          <a:xfrm>
                            <a:off x="3047111" y="35281"/>
                            <a:ext cx="154070" cy="178166"/>
                          </a:xfrm>
                          <a:prstGeom prst="rect">
                            <a:avLst/>
                          </a:prstGeom>
                          <a:ln>
                            <a:noFill/>
                          </a:ln>
                        </wps:spPr>
                        <wps:txbx>
                          <w:txbxContent>
                            <w:p w14:paraId="11A98F96" w14:textId="77777777" w:rsidR="009034C6" w:rsidRDefault="00784AE8">
                              <w:pPr>
                                <w:spacing w:after="160" w:line="259" w:lineRule="auto"/>
                                <w:ind w:left="0" w:right="0" w:firstLine="0"/>
                                <w:jc w:val="left"/>
                              </w:pPr>
                              <w:r>
                                <w:rPr>
                                  <w:rFonts w:ascii="Roboto" w:eastAsia="Roboto" w:hAnsi="Roboto" w:cs="Roboto"/>
                                  <w:sz w:val="18"/>
                                </w:rPr>
                                <w:t>Fri</w:t>
                              </w:r>
                            </w:p>
                          </w:txbxContent>
                        </wps:txbx>
                        <wps:bodyPr horzOverflow="overflow" vert="horz" lIns="0" tIns="0" rIns="0" bIns="0" rtlCol="0">
                          <a:noAutofit/>
                        </wps:bodyPr>
                      </wps:wsp>
                    </wpg:wgp>
                  </a:graphicData>
                </a:graphic>
              </wp:inline>
            </w:drawing>
          </mc:Choice>
          <mc:Fallback xmlns:a="http://schemas.openxmlformats.org/drawingml/2006/main">
            <w:pict>
              <v:group id="Group 66127" style="width:271.59pt;height:15.86pt;mso-position-horizontal-relative:char;mso-position-vertical-relative:line" coordsize="34491,2014">
                <v:shape id="Shape 67672" style="position:absolute;width:2014;height:2014;left:0;top:0;" coordsize="201422,201422" path="m0,0l201422,0l201422,201422l0,201422l0,0">
                  <v:stroke weight="0pt" endcap="round" joinstyle="miter" miterlimit="10" on="false" color="#ffffff"/>
                  <v:fill on="true" color="#d45e00" opacity="0.901961"/>
                </v:shape>
                <v:shape id="Shape 67673" style="position:absolute;width:2014;height:2014;left:5410;top:0;" coordsize="201422,201422" path="m0,0l201422,0l201422,201422l0,201422l0,0">
                  <v:stroke weight="0pt" endcap="round" joinstyle="miter" miterlimit="10" on="false" color="#ffffff"/>
                  <v:fill on="true" color="#55b4e9" opacity="0.901961"/>
                </v:shape>
                <v:shape id="Shape 67674" style="position:absolute;width:2014;height:2014;left:11113;top:0;" coordsize="201422,201422" path="m0,0l201422,0l201422,201422l0,201422l0,0">
                  <v:stroke weight="0pt" endcap="round" joinstyle="miter" miterlimit="10" on="false" color="#ffffff"/>
                  <v:fill on="true" color="#e69f00" opacity="0.901961"/>
                </v:shape>
                <v:shape id="Shape 67675" style="position:absolute;width:2014;height:2014;left:16508;top:0;" coordsize="201422,201422" path="m0,0l201422,0l201422,201422l0,201422l0,0">
                  <v:stroke weight="0pt" endcap="round" joinstyle="miter" miterlimit="10" on="false" color="#ffffff"/>
                  <v:fill on="true" color="#009e73" opacity="0.901961"/>
                </v:shape>
                <v:shape id="Shape 67676" style="position:absolute;width:2014;height:2014;left:22194;top:0;" coordsize="201422,201422" path="m0,0l201422,0l201422,201422l0,201422l0,0">
                  <v:stroke weight="0pt" endcap="round" joinstyle="miter" miterlimit="10" on="false" color="#ffffff"/>
                  <v:fill on="true" color="#cc79a7" opacity="0.901961"/>
                </v:shape>
                <v:shape id="Shape 67677" style="position:absolute;width:2014;height:2014;left:27607;top:0;" coordsize="201422,201422" path="m0,0l201422,0l201422,201422l0,201422l0,0">
                  <v:stroke weight="0pt" endcap="round" joinstyle="miter" miterlimit="10" on="false" color="#ffffff"/>
                  <v:fill on="true" color="#efe342" opacity="0.901961"/>
                </v:shape>
                <v:shape id="Shape 67678" style="position:absolute;width:2014;height:2014;left:32477;top:0;" coordsize="201422,201422" path="m0,0l201422,0l201422,201422l0,201422l0,0">
                  <v:stroke weight="0pt" endcap="round" joinstyle="miter" miterlimit="10" on="false" color="#ffffff"/>
                  <v:fill on="true" color="#999999" opacity="0.901961"/>
                </v:shape>
                <v:rect id="Rectangle 1183" style="position:absolute;width:2258;height:1781;left:2863;top:352;" filled="f" stroked="f">
                  <v:textbox inset="0,0,0,0">
                    <w:txbxContent>
                      <w:p>
                        <w:pPr>
                          <w:spacing w:before="0" w:after="160" w:line="259" w:lineRule="auto"/>
                          <w:ind w:left="0" w:right="0" w:firstLine="0"/>
                          <w:jc w:val="left"/>
                        </w:pPr>
                        <w:r>
                          <w:rPr>
                            <w:rFonts w:cs="Roboto" w:hAnsi="Roboto" w:eastAsia="Roboto" w:ascii="Roboto"/>
                            <w:sz w:val="18"/>
                          </w:rPr>
                          <w:t xml:space="preserve">Sun</w:t>
                        </w:r>
                      </w:p>
                    </w:txbxContent>
                  </v:textbox>
                </v:rect>
                <v:rect id="Rectangle 1184" style="position:absolute;width:2647;height:1781;left:8274;top:352;" filled="f" stroked="f">
                  <v:textbox inset="0,0,0,0">
                    <w:txbxContent>
                      <w:p>
                        <w:pPr>
                          <w:spacing w:before="0" w:after="160" w:line="259" w:lineRule="auto"/>
                          <w:ind w:left="0" w:right="0" w:firstLine="0"/>
                          <w:jc w:val="left"/>
                        </w:pPr>
                        <w:r>
                          <w:rPr>
                            <w:rFonts w:cs="Roboto" w:hAnsi="Roboto" w:eastAsia="Roboto" w:ascii="Roboto"/>
                            <w:sz w:val="18"/>
                          </w:rPr>
                          <w:t xml:space="preserve">Mon</w:t>
                        </w:r>
                      </w:p>
                    </w:txbxContent>
                  </v:textbox>
                </v:rect>
                <v:rect id="Rectangle 1185" style="position:absolute;width:2238;height:1781;left:13976;top:352;" filled="f" stroked="f">
                  <v:textbox inset="0,0,0,0">
                    <w:txbxContent>
                      <w:p>
                        <w:pPr>
                          <w:spacing w:before="0" w:after="160" w:line="259" w:lineRule="auto"/>
                          <w:ind w:left="0" w:right="0" w:firstLine="0"/>
                          <w:jc w:val="left"/>
                        </w:pPr>
                        <w:r>
                          <w:rPr>
                            <w:rFonts w:cs="Roboto" w:hAnsi="Roboto" w:eastAsia="Roboto" w:ascii="Roboto"/>
                            <w:sz w:val="18"/>
                          </w:rPr>
                          <w:t xml:space="preserve">Tue</w:t>
                        </w:r>
                      </w:p>
                    </w:txbxContent>
                  </v:textbox>
                </v:rect>
                <v:rect id="Rectangle 1186" style="position:absolute;width:2623;height:1781;left:19372;top:352;" filled="f" stroked="f">
                  <v:textbox inset="0,0,0,0">
                    <w:txbxContent>
                      <w:p>
                        <w:pPr>
                          <w:spacing w:before="0" w:after="160" w:line="259" w:lineRule="auto"/>
                          <w:ind w:left="0" w:right="0" w:firstLine="0"/>
                          <w:jc w:val="left"/>
                        </w:pPr>
                        <w:r>
                          <w:rPr>
                            <w:rFonts w:cs="Roboto" w:hAnsi="Roboto" w:eastAsia="Roboto" w:ascii="Roboto"/>
                            <w:sz w:val="18"/>
                          </w:rPr>
                          <w:t xml:space="preserve">Wed</w:t>
                        </w:r>
                      </w:p>
                    </w:txbxContent>
                  </v:textbox>
                </v:rect>
                <v:rect id="Rectangle 1187" style="position:absolute;width:2261;height:1781;left:25058;top:352;" filled="f" stroked="f">
                  <v:textbox inset="0,0,0,0">
                    <w:txbxContent>
                      <w:p>
                        <w:pPr>
                          <w:spacing w:before="0" w:after="160" w:line="259" w:lineRule="auto"/>
                          <w:ind w:left="0" w:right="0" w:firstLine="0"/>
                          <w:jc w:val="left"/>
                        </w:pPr>
                        <w:r>
                          <w:rPr>
                            <w:rFonts w:cs="Roboto" w:hAnsi="Roboto" w:eastAsia="Roboto" w:ascii="Roboto"/>
                            <w:sz w:val="18"/>
                          </w:rPr>
                          <w:t xml:space="preserve">Thu</w:t>
                        </w:r>
                      </w:p>
                    </w:txbxContent>
                  </v:textbox>
                </v:rect>
                <v:rect id="Rectangle 1188" style="position:absolute;width:1540;height:1781;left:30471;top:352;" filled="f" stroked="f">
                  <v:textbox inset="0,0,0,0">
                    <w:txbxContent>
                      <w:p>
                        <w:pPr>
                          <w:spacing w:before="0" w:after="160" w:line="259" w:lineRule="auto"/>
                          <w:ind w:left="0" w:right="0" w:firstLine="0"/>
                          <w:jc w:val="left"/>
                        </w:pPr>
                        <w:r>
                          <w:rPr>
                            <w:rFonts w:cs="Roboto" w:hAnsi="Roboto" w:eastAsia="Roboto" w:ascii="Roboto"/>
                            <w:sz w:val="18"/>
                          </w:rPr>
                          <w:t xml:space="preserve">Fri</w:t>
                        </w:r>
                      </w:p>
                    </w:txbxContent>
                  </v:textbox>
                </v:rect>
              </v:group>
            </w:pict>
          </mc:Fallback>
        </mc:AlternateContent>
      </w:r>
      <w:r>
        <w:rPr>
          <w:rFonts w:ascii="Roboto" w:eastAsia="Roboto" w:hAnsi="Roboto" w:cs="Roboto"/>
          <w:sz w:val="18"/>
        </w:rPr>
        <w:tab/>
        <w:t>Sat</w:t>
      </w:r>
    </w:p>
    <w:p w14:paraId="3E7C8CFB" w14:textId="77777777" w:rsidR="009034C6" w:rsidRDefault="00784AE8">
      <w:pPr>
        <w:spacing w:after="318" w:line="236" w:lineRule="auto"/>
        <w:ind w:left="23" w:right="21" w:hanging="10"/>
      </w:pPr>
      <w:r>
        <w:rPr>
          <w:sz w:val="16"/>
        </w:rPr>
        <w:t xml:space="preserve">Figure 1: </w:t>
      </w:r>
      <w:proofErr w:type="spellStart"/>
      <w:r>
        <w:rPr>
          <w:sz w:val="16"/>
        </w:rPr>
        <w:t>Distrubution</w:t>
      </w:r>
      <w:proofErr w:type="spellEnd"/>
      <w:r>
        <w:rPr>
          <w:sz w:val="16"/>
        </w:rPr>
        <w:t xml:space="preserve"> of admission by hour-of-day and day-of-week. Most days have a distinct pattern, such as relatively high arrivals on Monday mornings and in the early hours of Saturday and Sunday morning.</w:t>
      </w:r>
    </w:p>
    <w:p w14:paraId="4B394409" w14:textId="77777777" w:rsidR="009034C6" w:rsidRDefault="00784AE8">
      <w:pPr>
        <w:spacing w:after="11" w:line="226" w:lineRule="auto"/>
        <w:ind w:left="13" w:right="0" w:firstLine="296"/>
        <w:jc w:val="left"/>
      </w:pPr>
      <w:r>
        <w:t xml:space="preserve">It is clear that the number of arrivals has a sub-daily structure, similar to the one summarised by </w:t>
      </w:r>
      <w:proofErr w:type="spellStart"/>
      <w:r>
        <w:t>Hertzum</w:t>
      </w:r>
      <w:proofErr w:type="spellEnd"/>
      <w:r>
        <w:t xml:space="preserve"> [14]. The ED arrivals decrease between midnight and early morning and then increase until the evening, decreasing after that again. It is also clear that ED service gets systematically more visits on Mondays between 8 a.m. and 5 p.m. Moreover, the number of arrivals around midnight is slightly higher for Saturdays and Sundays.</w:t>
      </w:r>
    </w:p>
    <w:p w14:paraId="6EF3F8B7" w14:textId="77777777" w:rsidR="009034C6" w:rsidRDefault="00784AE8">
      <w:pPr>
        <w:ind w:left="13" w:right="0"/>
      </w:pPr>
      <w:r>
        <w:t>Figure 1 also highlights significant skewness for almost every hour of the day that varies with time-of-day, which should be accounted for in forecasting methods. Some skewness might be related to holidays and special events. It is also clear that arrivals are less volatile between midnight and early morning.</w:t>
      </w:r>
    </w:p>
    <w:p w14:paraId="20997074" w14:textId="77777777" w:rsidR="009034C6" w:rsidRDefault="00784AE8">
      <w:pPr>
        <w:spacing w:after="303" w:line="259" w:lineRule="auto"/>
        <w:ind w:left="1410" w:right="0" w:firstLine="0"/>
        <w:jc w:val="left"/>
      </w:pPr>
      <w:r>
        <w:rPr>
          <w:noProof/>
        </w:rPr>
        <w:lastRenderedPageBreak/>
        <w:drawing>
          <wp:inline distT="0" distB="0" distL="0" distR="0" wp14:anchorId="60368564" wp14:editId="26A833AF">
            <wp:extent cx="3889248" cy="2700528"/>
            <wp:effectExtent l="0" t="0" r="0" b="0"/>
            <wp:docPr id="66517" name="Picture 66517"/>
            <wp:cNvGraphicFramePr/>
            <a:graphic xmlns:a="http://schemas.openxmlformats.org/drawingml/2006/main">
              <a:graphicData uri="http://schemas.openxmlformats.org/drawingml/2006/picture">
                <pic:pic xmlns:pic="http://schemas.openxmlformats.org/drawingml/2006/picture">
                  <pic:nvPicPr>
                    <pic:cNvPr id="66517" name="Picture 66517"/>
                    <pic:cNvPicPr/>
                  </pic:nvPicPr>
                  <pic:blipFill>
                    <a:blip r:embed="rId16"/>
                    <a:stretch>
                      <a:fillRect/>
                    </a:stretch>
                  </pic:blipFill>
                  <pic:spPr>
                    <a:xfrm>
                      <a:off x="0" y="0"/>
                      <a:ext cx="3889248" cy="2700528"/>
                    </a:xfrm>
                    <a:prstGeom prst="rect">
                      <a:avLst/>
                    </a:prstGeom>
                  </pic:spPr>
                </pic:pic>
              </a:graphicData>
            </a:graphic>
          </wp:inline>
        </w:drawing>
      </w:r>
    </w:p>
    <w:p w14:paraId="397BE23D" w14:textId="77777777" w:rsidR="009034C6" w:rsidRDefault="00784AE8">
      <w:pPr>
        <w:spacing w:after="299" w:line="259" w:lineRule="auto"/>
        <w:ind w:left="10" w:hanging="10"/>
        <w:jc w:val="center"/>
      </w:pPr>
      <w:r>
        <w:rPr>
          <w:sz w:val="16"/>
        </w:rPr>
        <w:t>Figure 2: Seasonal plot: day of week arrivals</w:t>
      </w:r>
    </w:p>
    <w:p w14:paraId="60A31EAB" w14:textId="165B24CC" w:rsidR="009034C6" w:rsidRDefault="00784AE8">
      <w:pPr>
        <w:ind w:left="13" w:right="0"/>
      </w:pPr>
      <w:r>
        <w:t xml:space="preserve">Figure 2 illustrates the daily seasonal plot, with the x-axis representing the day-of-week and y-axis the ED arrivals. There is a line for each week (i.e. seven days) from Monday to Saturday, and lines are colour-coded by the week of the year to show the weekly cycle. </w:t>
      </w:r>
      <w:r w:rsidR="00210A5E">
        <w:t>There</w:t>
      </w:r>
      <w:r>
        <w:t xml:space="preserve"> is a significant jump in patient arrivals on Monday followed by Saturday each week. This indicates that there are significantly more arrivals on Mondays and Saturdays compared to the rest of the week. This might be due to the closure of General Practitioners outpatient clinics over the weekend.</w:t>
      </w:r>
    </w:p>
    <w:p w14:paraId="6CDC5E29" w14:textId="77777777" w:rsidR="009034C6" w:rsidRDefault="00784AE8">
      <w:pPr>
        <w:spacing w:after="290" w:line="259" w:lineRule="auto"/>
        <w:ind w:left="1405" w:right="0" w:firstLine="0"/>
        <w:jc w:val="left"/>
      </w:pPr>
      <w:r>
        <w:rPr>
          <w:noProof/>
        </w:rPr>
        <w:drawing>
          <wp:inline distT="0" distB="0" distL="0" distR="0" wp14:anchorId="1DD378B3" wp14:editId="54CA2060">
            <wp:extent cx="3895345" cy="2645664"/>
            <wp:effectExtent l="0" t="0" r="0" b="0"/>
            <wp:docPr id="66519" name="Picture 66519"/>
            <wp:cNvGraphicFramePr/>
            <a:graphic xmlns:a="http://schemas.openxmlformats.org/drawingml/2006/main">
              <a:graphicData uri="http://schemas.openxmlformats.org/drawingml/2006/picture">
                <pic:pic xmlns:pic="http://schemas.openxmlformats.org/drawingml/2006/picture">
                  <pic:nvPicPr>
                    <pic:cNvPr id="66519" name="Picture 66519"/>
                    <pic:cNvPicPr/>
                  </pic:nvPicPr>
                  <pic:blipFill>
                    <a:blip r:embed="rId17"/>
                    <a:stretch>
                      <a:fillRect/>
                    </a:stretch>
                  </pic:blipFill>
                  <pic:spPr>
                    <a:xfrm>
                      <a:off x="0" y="0"/>
                      <a:ext cx="3895345" cy="2645664"/>
                    </a:xfrm>
                    <a:prstGeom prst="rect">
                      <a:avLst/>
                    </a:prstGeom>
                  </pic:spPr>
                </pic:pic>
              </a:graphicData>
            </a:graphic>
          </wp:inline>
        </w:drawing>
      </w:r>
    </w:p>
    <w:p w14:paraId="5D153524" w14:textId="77777777" w:rsidR="009034C6" w:rsidRDefault="00784AE8">
      <w:pPr>
        <w:spacing w:after="318" w:line="236" w:lineRule="auto"/>
        <w:ind w:left="23" w:right="21" w:hanging="10"/>
      </w:pPr>
      <w:r>
        <w:rPr>
          <w:sz w:val="16"/>
        </w:rPr>
        <w:t xml:space="preserve">Figure 3: Arrivals by week-of-year. There is an annual trend of reduced arrivals </w:t>
      </w:r>
      <w:proofErr w:type="spellStart"/>
      <w:r>
        <w:rPr>
          <w:sz w:val="16"/>
        </w:rPr>
        <w:t>durnng</w:t>
      </w:r>
      <w:proofErr w:type="spellEnd"/>
      <w:r>
        <w:rPr>
          <w:sz w:val="16"/>
        </w:rPr>
        <w:t xml:space="preserve"> the summer and winter holiday period.</w:t>
      </w:r>
    </w:p>
    <w:p w14:paraId="11A495CD" w14:textId="77777777" w:rsidR="009034C6" w:rsidRDefault="00784AE8">
      <w:pPr>
        <w:spacing w:after="11" w:line="226" w:lineRule="auto"/>
        <w:ind w:left="13" w:right="0" w:firstLine="296"/>
        <w:jc w:val="left"/>
      </w:pPr>
      <w:r>
        <w:t>Figure 3 highlights the week of year seasonality in the ED arrivals. We observe that arrivals are significantly lower from week 29 to 35, corresponding to the Summer period. Moreover, the number of arrivals is lower at the beginning and the end of the year. The arrivals increase from week 36 and peak in weeks 39-42. This corresponds to the September - October period.</w:t>
      </w:r>
    </w:p>
    <w:p w14:paraId="72138647" w14:textId="77777777" w:rsidR="009034C6" w:rsidRDefault="00784AE8">
      <w:pPr>
        <w:spacing w:after="321" w:line="259" w:lineRule="auto"/>
        <w:ind w:left="1405" w:right="0" w:firstLine="0"/>
        <w:jc w:val="left"/>
      </w:pPr>
      <w:r>
        <w:rPr>
          <w:noProof/>
        </w:rPr>
        <w:lastRenderedPageBreak/>
        <w:drawing>
          <wp:inline distT="0" distB="0" distL="0" distR="0" wp14:anchorId="6948E94D" wp14:editId="2D2B146D">
            <wp:extent cx="3895345" cy="2316480"/>
            <wp:effectExtent l="0" t="0" r="0" b="0"/>
            <wp:docPr id="66521" name="Picture 66521"/>
            <wp:cNvGraphicFramePr/>
            <a:graphic xmlns:a="http://schemas.openxmlformats.org/drawingml/2006/main">
              <a:graphicData uri="http://schemas.openxmlformats.org/drawingml/2006/picture">
                <pic:pic xmlns:pic="http://schemas.openxmlformats.org/drawingml/2006/picture">
                  <pic:nvPicPr>
                    <pic:cNvPr id="66521" name="Picture 66521"/>
                    <pic:cNvPicPr/>
                  </pic:nvPicPr>
                  <pic:blipFill>
                    <a:blip r:embed="rId18"/>
                    <a:stretch>
                      <a:fillRect/>
                    </a:stretch>
                  </pic:blipFill>
                  <pic:spPr>
                    <a:xfrm>
                      <a:off x="0" y="0"/>
                      <a:ext cx="3895345" cy="2316480"/>
                    </a:xfrm>
                    <a:prstGeom prst="rect">
                      <a:avLst/>
                    </a:prstGeom>
                  </pic:spPr>
                </pic:pic>
              </a:graphicData>
            </a:graphic>
          </wp:inline>
        </w:drawing>
      </w:r>
    </w:p>
    <w:p w14:paraId="72134375" w14:textId="77777777" w:rsidR="009034C6" w:rsidRDefault="00784AE8">
      <w:pPr>
        <w:tabs>
          <w:tab w:val="center" w:pos="3148"/>
          <w:tab w:val="center" w:pos="3750"/>
          <w:tab w:val="center" w:pos="4343"/>
          <w:tab w:val="center" w:pos="4939"/>
          <w:tab w:val="center" w:pos="5543"/>
          <w:tab w:val="center" w:pos="6097"/>
          <w:tab w:val="center" w:pos="6636"/>
        </w:tabs>
        <w:spacing w:after="248"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14:anchorId="68BB7130" wp14:editId="79F2253C">
                <wp:simplePos x="0" y="0"/>
                <wp:positionH relativeFrom="column">
                  <wp:posOffset>1794184</wp:posOffset>
                </wp:positionH>
                <wp:positionV relativeFrom="paragraph">
                  <wp:posOffset>1633</wp:posOffset>
                </wp:positionV>
                <wp:extent cx="2264815" cy="51703"/>
                <wp:effectExtent l="0" t="0" r="0" b="0"/>
                <wp:wrapNone/>
                <wp:docPr id="66260" name="Group 66260"/>
                <wp:cNvGraphicFramePr/>
                <a:graphic xmlns:a="http://schemas.openxmlformats.org/drawingml/2006/main">
                  <a:graphicData uri="http://schemas.microsoft.com/office/word/2010/wordprocessingGroup">
                    <wpg:wgp>
                      <wpg:cNvGrpSpPr/>
                      <wpg:grpSpPr>
                        <a:xfrm>
                          <a:off x="0" y="0"/>
                          <a:ext cx="2264815" cy="51703"/>
                          <a:chOff x="0" y="0"/>
                          <a:chExt cx="2264815" cy="51703"/>
                        </a:xfrm>
                      </wpg:grpSpPr>
                      <wps:wsp>
                        <wps:cNvPr id="6210" name="Shape 6210"/>
                        <wps:cNvSpPr/>
                        <wps:spPr>
                          <a:xfrm>
                            <a:off x="0" y="9269"/>
                            <a:ext cx="33250" cy="33250"/>
                          </a:xfrm>
                          <a:custGeom>
                            <a:avLst/>
                            <a:gdLst/>
                            <a:ahLst/>
                            <a:cxnLst/>
                            <a:rect l="0" t="0" r="0" b="0"/>
                            <a:pathLst>
                              <a:path w="33250" h="33250">
                                <a:moveTo>
                                  <a:pt x="0" y="33250"/>
                                </a:moveTo>
                                <a:lnTo>
                                  <a:pt x="33250" y="33250"/>
                                </a:lnTo>
                                <a:lnTo>
                                  <a:pt x="33250" y="0"/>
                                </a:lnTo>
                                <a:lnTo>
                                  <a:pt x="0" y="0"/>
                                </a:lnTo>
                                <a:close/>
                              </a:path>
                            </a:pathLst>
                          </a:custGeom>
                          <a:ln w="6038" cap="rnd">
                            <a:round/>
                          </a:ln>
                        </wps:spPr>
                        <wps:style>
                          <a:lnRef idx="1">
                            <a:srgbClr val="000000"/>
                          </a:lnRef>
                          <a:fillRef idx="0">
                            <a:srgbClr val="000000">
                              <a:alpha val="0"/>
                            </a:srgbClr>
                          </a:fillRef>
                          <a:effectRef idx="0">
                            <a:scrgbClr r="0" g="0" b="0"/>
                          </a:effectRef>
                          <a:fontRef idx="none"/>
                        </wps:style>
                        <wps:bodyPr/>
                      </wps:wsp>
                      <wps:wsp>
                        <wps:cNvPr id="6212" name="Shape 6212"/>
                        <wps:cNvSpPr/>
                        <wps:spPr>
                          <a:xfrm>
                            <a:off x="376293" y="9269"/>
                            <a:ext cx="33250" cy="33250"/>
                          </a:xfrm>
                          <a:custGeom>
                            <a:avLst/>
                            <a:gdLst/>
                            <a:ahLst/>
                            <a:cxnLst/>
                            <a:rect l="0" t="0" r="0" b="0"/>
                            <a:pathLst>
                              <a:path w="33250" h="33250">
                                <a:moveTo>
                                  <a:pt x="0" y="16582"/>
                                </a:moveTo>
                                <a:cubicBezTo>
                                  <a:pt x="0" y="7483"/>
                                  <a:pt x="7483" y="0"/>
                                  <a:pt x="16583" y="0"/>
                                </a:cubicBezTo>
                                <a:cubicBezTo>
                                  <a:pt x="25767" y="0"/>
                                  <a:pt x="33250" y="7483"/>
                                  <a:pt x="33250" y="16582"/>
                                </a:cubicBezTo>
                                <a:cubicBezTo>
                                  <a:pt x="33250" y="25766"/>
                                  <a:pt x="25767" y="33250"/>
                                  <a:pt x="16583" y="33250"/>
                                </a:cubicBezTo>
                                <a:cubicBezTo>
                                  <a:pt x="7483" y="33250"/>
                                  <a:pt x="0" y="25766"/>
                                  <a:pt x="0" y="16582"/>
                                </a:cubicBezTo>
                              </a:path>
                            </a:pathLst>
                          </a:custGeom>
                          <a:ln w="6038" cap="rnd">
                            <a:round/>
                          </a:ln>
                        </wps:spPr>
                        <wps:style>
                          <a:lnRef idx="1">
                            <a:srgbClr val="000000"/>
                          </a:lnRef>
                          <a:fillRef idx="0">
                            <a:srgbClr val="000000">
                              <a:alpha val="0"/>
                            </a:srgbClr>
                          </a:fillRef>
                          <a:effectRef idx="0">
                            <a:scrgbClr r="0" g="0" b="0"/>
                          </a:effectRef>
                          <a:fontRef idx="none"/>
                        </wps:style>
                        <wps:bodyPr/>
                      </wps:wsp>
                      <wps:wsp>
                        <wps:cNvPr id="6214" name="Shape 6214"/>
                        <wps:cNvSpPr/>
                        <wps:spPr>
                          <a:xfrm>
                            <a:off x="759474" y="0"/>
                            <a:ext cx="44815" cy="38777"/>
                          </a:xfrm>
                          <a:custGeom>
                            <a:avLst/>
                            <a:gdLst/>
                            <a:ahLst/>
                            <a:cxnLst/>
                            <a:rect l="0" t="0" r="0" b="0"/>
                            <a:pathLst>
                              <a:path w="44815" h="38777">
                                <a:moveTo>
                                  <a:pt x="22450" y="0"/>
                                </a:moveTo>
                                <a:lnTo>
                                  <a:pt x="44815" y="38777"/>
                                </a:lnTo>
                                <a:lnTo>
                                  <a:pt x="0" y="38777"/>
                                </a:lnTo>
                                <a:lnTo>
                                  <a:pt x="22450" y="0"/>
                                </a:lnTo>
                              </a:path>
                            </a:pathLst>
                          </a:custGeom>
                          <a:ln w="6038" cap="rnd">
                            <a:round/>
                          </a:ln>
                        </wps:spPr>
                        <wps:style>
                          <a:lnRef idx="1">
                            <a:srgbClr val="000000"/>
                          </a:lnRef>
                          <a:fillRef idx="0">
                            <a:srgbClr val="000000">
                              <a:alpha val="0"/>
                            </a:srgbClr>
                          </a:fillRef>
                          <a:effectRef idx="0">
                            <a:scrgbClr r="0" g="0" b="0"/>
                          </a:effectRef>
                          <a:fontRef idx="none"/>
                        </wps:style>
                        <wps:bodyPr/>
                      </wps:wsp>
                      <wps:wsp>
                        <wps:cNvPr id="6216" name="Shape 6216"/>
                        <wps:cNvSpPr/>
                        <wps:spPr>
                          <a:xfrm>
                            <a:off x="1121225" y="25852"/>
                            <a:ext cx="47026" cy="0"/>
                          </a:xfrm>
                          <a:custGeom>
                            <a:avLst/>
                            <a:gdLst/>
                            <a:ahLst/>
                            <a:cxnLst/>
                            <a:rect l="0" t="0" r="0" b="0"/>
                            <a:pathLst>
                              <a:path w="47026">
                                <a:moveTo>
                                  <a:pt x="0" y="0"/>
                                </a:moveTo>
                                <a:lnTo>
                                  <a:pt x="47026" y="0"/>
                                </a:lnTo>
                              </a:path>
                            </a:pathLst>
                          </a:custGeom>
                          <a:ln w="6038" cap="rnd">
                            <a:round/>
                          </a:ln>
                        </wps:spPr>
                        <wps:style>
                          <a:lnRef idx="1">
                            <a:srgbClr val="000000"/>
                          </a:lnRef>
                          <a:fillRef idx="0">
                            <a:srgbClr val="000000">
                              <a:alpha val="0"/>
                            </a:srgbClr>
                          </a:fillRef>
                          <a:effectRef idx="0">
                            <a:scrgbClr r="0" g="0" b="0"/>
                          </a:effectRef>
                          <a:fontRef idx="none"/>
                        </wps:style>
                        <wps:bodyPr/>
                      </wps:wsp>
                      <wps:wsp>
                        <wps:cNvPr id="6217" name="Shape 6217"/>
                        <wps:cNvSpPr/>
                        <wps:spPr>
                          <a:xfrm>
                            <a:off x="1144696" y="2381"/>
                            <a:ext cx="0" cy="47026"/>
                          </a:xfrm>
                          <a:custGeom>
                            <a:avLst/>
                            <a:gdLst/>
                            <a:ahLst/>
                            <a:cxnLst/>
                            <a:rect l="0" t="0" r="0" b="0"/>
                            <a:pathLst>
                              <a:path h="47026">
                                <a:moveTo>
                                  <a:pt x="0" y="47026"/>
                                </a:moveTo>
                                <a:lnTo>
                                  <a:pt x="0" y="0"/>
                                </a:lnTo>
                              </a:path>
                            </a:pathLst>
                          </a:custGeom>
                          <a:ln w="6038" cap="rnd">
                            <a:round/>
                          </a:ln>
                        </wps:spPr>
                        <wps:style>
                          <a:lnRef idx="1">
                            <a:srgbClr val="000000"/>
                          </a:lnRef>
                          <a:fillRef idx="0">
                            <a:srgbClr val="000000">
                              <a:alpha val="0"/>
                            </a:srgbClr>
                          </a:fillRef>
                          <a:effectRef idx="0">
                            <a:scrgbClr r="0" g="0" b="0"/>
                          </a:effectRef>
                          <a:fontRef idx="none"/>
                        </wps:style>
                        <wps:bodyPr/>
                      </wps:wsp>
                      <wps:wsp>
                        <wps:cNvPr id="6219" name="Shape 6219"/>
                        <wps:cNvSpPr/>
                        <wps:spPr>
                          <a:xfrm>
                            <a:off x="1523284" y="9269"/>
                            <a:ext cx="33250" cy="33250"/>
                          </a:xfrm>
                          <a:custGeom>
                            <a:avLst/>
                            <a:gdLst/>
                            <a:ahLst/>
                            <a:cxnLst/>
                            <a:rect l="0" t="0" r="0" b="0"/>
                            <a:pathLst>
                              <a:path w="33250" h="33250">
                                <a:moveTo>
                                  <a:pt x="0" y="33250"/>
                                </a:moveTo>
                                <a:lnTo>
                                  <a:pt x="33250" y="0"/>
                                </a:lnTo>
                              </a:path>
                            </a:pathLst>
                          </a:custGeom>
                          <a:ln w="6038" cap="rnd">
                            <a:round/>
                          </a:ln>
                        </wps:spPr>
                        <wps:style>
                          <a:lnRef idx="1">
                            <a:srgbClr val="000000"/>
                          </a:lnRef>
                          <a:fillRef idx="0">
                            <a:srgbClr val="000000">
                              <a:alpha val="0"/>
                            </a:srgbClr>
                          </a:fillRef>
                          <a:effectRef idx="0">
                            <a:scrgbClr r="0" g="0" b="0"/>
                          </a:effectRef>
                          <a:fontRef idx="none"/>
                        </wps:style>
                        <wps:bodyPr/>
                      </wps:wsp>
                      <wps:wsp>
                        <wps:cNvPr id="6220" name="Shape 6220"/>
                        <wps:cNvSpPr/>
                        <wps:spPr>
                          <a:xfrm>
                            <a:off x="1523284" y="9269"/>
                            <a:ext cx="33250" cy="33250"/>
                          </a:xfrm>
                          <a:custGeom>
                            <a:avLst/>
                            <a:gdLst/>
                            <a:ahLst/>
                            <a:cxnLst/>
                            <a:rect l="0" t="0" r="0" b="0"/>
                            <a:pathLst>
                              <a:path w="33250" h="33250">
                                <a:moveTo>
                                  <a:pt x="0" y="0"/>
                                </a:moveTo>
                                <a:lnTo>
                                  <a:pt x="33250" y="33250"/>
                                </a:lnTo>
                              </a:path>
                            </a:pathLst>
                          </a:custGeom>
                          <a:ln w="6038" cap="rnd">
                            <a:round/>
                          </a:ln>
                        </wps:spPr>
                        <wps:style>
                          <a:lnRef idx="1">
                            <a:srgbClr val="000000"/>
                          </a:lnRef>
                          <a:fillRef idx="0">
                            <a:srgbClr val="000000">
                              <a:alpha val="0"/>
                            </a:srgbClr>
                          </a:fillRef>
                          <a:effectRef idx="0">
                            <a:scrgbClr r="0" g="0" b="0"/>
                          </a:effectRef>
                          <a:fontRef idx="none"/>
                        </wps:style>
                        <wps:bodyPr/>
                      </wps:wsp>
                      <wps:wsp>
                        <wps:cNvPr id="6222" name="Shape 6222"/>
                        <wps:cNvSpPr/>
                        <wps:spPr>
                          <a:xfrm>
                            <a:off x="1888437" y="2381"/>
                            <a:ext cx="47026" cy="47026"/>
                          </a:xfrm>
                          <a:custGeom>
                            <a:avLst/>
                            <a:gdLst/>
                            <a:ahLst/>
                            <a:cxnLst/>
                            <a:rect l="0" t="0" r="0" b="0"/>
                            <a:pathLst>
                              <a:path w="47026" h="47026">
                                <a:moveTo>
                                  <a:pt x="0" y="23471"/>
                                </a:moveTo>
                                <a:lnTo>
                                  <a:pt x="23471" y="0"/>
                                </a:lnTo>
                                <a:lnTo>
                                  <a:pt x="47026" y="23471"/>
                                </a:lnTo>
                                <a:lnTo>
                                  <a:pt x="23471" y="47026"/>
                                </a:lnTo>
                                <a:lnTo>
                                  <a:pt x="0" y="23471"/>
                                </a:lnTo>
                              </a:path>
                            </a:pathLst>
                          </a:custGeom>
                          <a:ln w="6038" cap="rnd">
                            <a:round/>
                          </a:ln>
                        </wps:spPr>
                        <wps:style>
                          <a:lnRef idx="1">
                            <a:srgbClr val="000000"/>
                          </a:lnRef>
                          <a:fillRef idx="0">
                            <a:srgbClr val="000000">
                              <a:alpha val="0"/>
                            </a:srgbClr>
                          </a:fillRef>
                          <a:effectRef idx="0">
                            <a:scrgbClr r="0" g="0" b="0"/>
                          </a:effectRef>
                          <a:fontRef idx="none"/>
                        </wps:style>
                        <wps:bodyPr/>
                      </wps:wsp>
                      <wps:wsp>
                        <wps:cNvPr id="6224" name="Shape 6224"/>
                        <wps:cNvSpPr/>
                        <wps:spPr>
                          <a:xfrm>
                            <a:off x="2220085" y="12926"/>
                            <a:ext cx="44730" cy="38777"/>
                          </a:xfrm>
                          <a:custGeom>
                            <a:avLst/>
                            <a:gdLst/>
                            <a:ahLst/>
                            <a:cxnLst/>
                            <a:rect l="0" t="0" r="0" b="0"/>
                            <a:pathLst>
                              <a:path w="44730" h="38777">
                                <a:moveTo>
                                  <a:pt x="22365" y="38777"/>
                                </a:moveTo>
                                <a:lnTo>
                                  <a:pt x="44730" y="0"/>
                                </a:lnTo>
                                <a:lnTo>
                                  <a:pt x="0" y="0"/>
                                </a:lnTo>
                                <a:lnTo>
                                  <a:pt x="22365" y="38777"/>
                                </a:lnTo>
                              </a:path>
                            </a:pathLst>
                          </a:custGeom>
                          <a:ln w="6038"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260" style="width:178.332pt;height:4.07111pt;position:absolute;z-index:2409;mso-position-horizontal-relative:text;mso-position-horizontal:absolute;margin-left:141.274pt;mso-position-vertical-relative:text;margin-top:0.128571pt;" coordsize="22648,517">
                <v:shape id="Shape 6210" style="position:absolute;width:332;height:332;left:0;top:92;" coordsize="33250,33250" path="m0,33250l33250,33250l33250,0l0,0x">
                  <v:stroke weight="0.475409pt" endcap="round" joinstyle="round" on="true" color="#000000"/>
                  <v:fill on="false" color="#000000" opacity="0"/>
                </v:shape>
                <v:shape id="Shape 6212" style="position:absolute;width:332;height:332;left:3762;top:92;" coordsize="33250,33250" path="m0,16582c0,7483,7483,0,16583,0c25767,0,33250,7483,33250,16582c33250,25766,25767,33250,16583,33250c7483,33250,0,25766,0,16582">
                  <v:stroke weight="0.475409pt" endcap="round" joinstyle="round" on="true" color="#000000"/>
                  <v:fill on="false" color="#000000" opacity="0"/>
                </v:shape>
                <v:shape id="Shape 6214" style="position:absolute;width:448;height:387;left:7594;top:0;" coordsize="44815,38777" path="m22450,0l44815,38777l0,38777l22450,0">
                  <v:stroke weight="0.475409pt" endcap="round" joinstyle="round" on="true" color="#000000"/>
                  <v:fill on="false" color="#000000" opacity="0"/>
                </v:shape>
                <v:shape id="Shape 6216" style="position:absolute;width:470;height:0;left:11212;top:258;" coordsize="47026,0" path="m0,0l47026,0">
                  <v:stroke weight="0.475409pt" endcap="round" joinstyle="round" on="true" color="#000000"/>
                  <v:fill on="false" color="#000000" opacity="0"/>
                </v:shape>
                <v:shape id="Shape 6217" style="position:absolute;width:0;height:470;left:11446;top:23;" coordsize="0,47026" path="m0,47026l0,0">
                  <v:stroke weight="0.475409pt" endcap="round" joinstyle="round" on="true" color="#000000"/>
                  <v:fill on="false" color="#000000" opacity="0"/>
                </v:shape>
                <v:shape id="Shape 6219" style="position:absolute;width:332;height:332;left:15232;top:92;" coordsize="33250,33250" path="m0,33250l33250,0">
                  <v:stroke weight="0.475409pt" endcap="round" joinstyle="round" on="true" color="#000000"/>
                  <v:fill on="false" color="#000000" opacity="0"/>
                </v:shape>
                <v:shape id="Shape 6220" style="position:absolute;width:332;height:332;left:15232;top:92;" coordsize="33250,33250" path="m0,0l33250,33250">
                  <v:stroke weight="0.475409pt" endcap="round" joinstyle="round" on="true" color="#000000"/>
                  <v:fill on="false" color="#000000" opacity="0"/>
                </v:shape>
                <v:shape id="Shape 6222" style="position:absolute;width:470;height:470;left:18884;top:23;" coordsize="47026,47026" path="m0,23471l23471,0l47026,23471l23471,47026l0,23471">
                  <v:stroke weight="0.475409pt" endcap="round" joinstyle="round" on="true" color="#000000"/>
                  <v:fill on="false" color="#000000" opacity="0"/>
                </v:shape>
                <v:shape id="Shape 6224" style="position:absolute;width:447;height:387;left:22200;top:129;" coordsize="44730,38777" path="m22365,38777l44730,0l0,0l22365,38777">
                  <v:stroke weight="0.475409pt" endcap="round" joinstyle="round" on="true" color="#000000"/>
                  <v:fill on="false" color="#000000" opacity="0"/>
                </v:shape>
              </v:group>
            </w:pict>
          </mc:Fallback>
        </mc:AlternateContent>
      </w:r>
      <w:r>
        <w:rPr>
          <w:sz w:val="22"/>
        </w:rPr>
        <w:tab/>
      </w:r>
      <w:r>
        <w:rPr>
          <w:rFonts w:ascii="Arial" w:eastAsia="Arial" w:hAnsi="Arial" w:cs="Arial"/>
          <w:sz w:val="12"/>
        </w:rPr>
        <w:t>Sun</w:t>
      </w:r>
      <w:r>
        <w:rPr>
          <w:rFonts w:ascii="Arial" w:eastAsia="Arial" w:hAnsi="Arial" w:cs="Arial"/>
          <w:sz w:val="12"/>
        </w:rPr>
        <w:tab/>
        <w:t>Mon</w:t>
      </w:r>
      <w:r>
        <w:rPr>
          <w:rFonts w:ascii="Arial" w:eastAsia="Arial" w:hAnsi="Arial" w:cs="Arial"/>
          <w:sz w:val="12"/>
        </w:rPr>
        <w:tab/>
        <w:t>Tue</w:t>
      </w:r>
      <w:r>
        <w:rPr>
          <w:rFonts w:ascii="Arial" w:eastAsia="Arial" w:hAnsi="Arial" w:cs="Arial"/>
          <w:sz w:val="12"/>
        </w:rPr>
        <w:tab/>
        <w:t>Wed</w:t>
      </w:r>
      <w:r>
        <w:rPr>
          <w:rFonts w:ascii="Arial" w:eastAsia="Arial" w:hAnsi="Arial" w:cs="Arial"/>
          <w:sz w:val="12"/>
        </w:rPr>
        <w:tab/>
        <w:t>Thu</w:t>
      </w:r>
      <w:r>
        <w:rPr>
          <w:rFonts w:ascii="Arial" w:eastAsia="Arial" w:hAnsi="Arial" w:cs="Arial"/>
          <w:sz w:val="12"/>
        </w:rPr>
        <w:tab/>
        <w:t>Fri</w:t>
      </w:r>
      <w:r>
        <w:rPr>
          <w:rFonts w:ascii="Arial" w:eastAsia="Arial" w:hAnsi="Arial" w:cs="Arial"/>
          <w:sz w:val="12"/>
        </w:rPr>
        <w:tab/>
        <w:t>Sat</w:t>
      </w:r>
    </w:p>
    <w:p w14:paraId="680FCE78" w14:textId="77777777" w:rsidR="009034C6" w:rsidRDefault="00784AE8">
      <w:pPr>
        <w:spacing w:after="318" w:line="236" w:lineRule="auto"/>
        <w:ind w:left="23" w:right="21" w:hanging="10"/>
      </w:pPr>
      <w:r>
        <w:rPr>
          <w:sz w:val="16"/>
        </w:rPr>
        <w:t xml:space="preserve">Figure 4: Daily arrivals over the entire dataset with moving average trend (blue line) and dates of outliers </w:t>
      </w:r>
      <w:proofErr w:type="spellStart"/>
      <w:r>
        <w:rPr>
          <w:sz w:val="16"/>
        </w:rPr>
        <w:t>labled</w:t>
      </w:r>
      <w:proofErr w:type="spellEnd"/>
      <w:r>
        <w:rPr>
          <w:sz w:val="16"/>
        </w:rPr>
        <w:t xml:space="preserve">. Low outliers </w:t>
      </w:r>
      <w:proofErr w:type="spellStart"/>
      <w:r>
        <w:rPr>
          <w:sz w:val="16"/>
        </w:rPr>
        <w:t>invariables</w:t>
      </w:r>
      <w:proofErr w:type="spellEnd"/>
      <w:r>
        <w:rPr>
          <w:sz w:val="16"/>
        </w:rPr>
        <w:t xml:space="preserve"> correspond to public holidays.</w:t>
      </w:r>
    </w:p>
    <w:p w14:paraId="4170D23F" w14:textId="77777777" w:rsidR="009034C6" w:rsidRDefault="00784AE8">
      <w:pPr>
        <w:spacing w:after="11" w:line="226" w:lineRule="auto"/>
        <w:ind w:left="13" w:right="0" w:firstLine="296"/>
        <w:jc w:val="left"/>
      </w:pPr>
      <w:r>
        <w:t>Finally, Figure 4 presents the time plot of daily arrivals. Each point represents one day, and points are shape-coded by day-of-week to show the weekly cycle. The figure shows more arrivals on Mondays than on other weekdays, agreeing with the previous findings. Moreover, we can observe a long-term trend line and the significant effect of some holidays. We can see that arrivals near Christmas and New Year’s day are significantly lower than other days of the year. Moreover, Figure 4 allows us to identify the impact of special events on arrivals. For instance, we see that arrivals are significantly low for 01-03 of March 2018. These days correspond to the Storm Emma with heavy snowfall that resulted in travel disruption, mass power outages, and schools closed in the UK [38].</w:t>
      </w:r>
    </w:p>
    <w:p w14:paraId="203E9002" w14:textId="77777777" w:rsidR="009034C6" w:rsidRDefault="00784AE8">
      <w:pPr>
        <w:spacing w:after="189"/>
        <w:ind w:left="13" w:right="0"/>
      </w:pPr>
      <w:r>
        <w:t>Based on this analysis and the literature review, we should consider models that can take the following into account:</w:t>
      </w:r>
    </w:p>
    <w:p w14:paraId="1B275D64" w14:textId="77777777" w:rsidR="009034C6" w:rsidRDefault="00784AE8">
      <w:pPr>
        <w:numPr>
          <w:ilvl w:val="0"/>
          <w:numId w:val="3"/>
        </w:numPr>
        <w:ind w:right="0" w:hanging="255"/>
      </w:pPr>
      <w:r>
        <w:t xml:space="preserve">Hour-of-day, day-of-week, and week-of-year </w:t>
      </w:r>
      <w:proofErr w:type="spellStart"/>
      <w:r>
        <w:t>seasonalities</w:t>
      </w:r>
      <w:proofErr w:type="spellEnd"/>
      <w:r>
        <w:t>,</w:t>
      </w:r>
    </w:p>
    <w:p w14:paraId="503695CD" w14:textId="77777777" w:rsidR="009034C6" w:rsidRDefault="00784AE8">
      <w:pPr>
        <w:numPr>
          <w:ilvl w:val="0"/>
          <w:numId w:val="3"/>
        </w:numPr>
        <w:ind w:right="0" w:hanging="255"/>
      </w:pPr>
      <w:r>
        <w:t>Long-term trend (or a slowly changing level),</w:t>
      </w:r>
    </w:p>
    <w:p w14:paraId="591DB675" w14:textId="77777777" w:rsidR="009034C6" w:rsidRDefault="00784AE8">
      <w:pPr>
        <w:numPr>
          <w:ilvl w:val="0"/>
          <w:numId w:val="3"/>
        </w:numPr>
        <w:ind w:right="0" w:hanging="255"/>
      </w:pPr>
      <w:r>
        <w:t>Calendar events, such as holidays,</w:t>
      </w:r>
    </w:p>
    <w:p w14:paraId="63ED904D" w14:textId="77777777" w:rsidR="009034C6" w:rsidRDefault="00784AE8">
      <w:pPr>
        <w:numPr>
          <w:ilvl w:val="0"/>
          <w:numId w:val="3"/>
        </w:numPr>
        <w:ind w:right="0" w:hanging="255"/>
      </w:pPr>
      <w:r>
        <w:t>Lags of calendar events to accommodate the potential changes in demand the next day after a holiday,</w:t>
      </w:r>
    </w:p>
    <w:p w14:paraId="2BC5C619" w14:textId="77777777" w:rsidR="009034C6" w:rsidRDefault="00784AE8">
      <w:pPr>
        <w:numPr>
          <w:ilvl w:val="0"/>
          <w:numId w:val="3"/>
        </w:numPr>
        <w:spacing w:after="189"/>
        <w:ind w:right="0" w:hanging="255"/>
      </w:pPr>
      <w:r>
        <w:t>Other events, such as sporting fixtures, • Temperature effects.</w:t>
      </w:r>
    </w:p>
    <w:p w14:paraId="5D4D64AD" w14:textId="77777777" w:rsidR="009034C6" w:rsidRDefault="00784AE8">
      <w:pPr>
        <w:spacing w:after="345"/>
        <w:ind w:left="327" w:right="0" w:firstLine="0"/>
      </w:pPr>
      <w:r>
        <w:t>We propose several forecasting models that account for the structures outlined above.</w:t>
      </w:r>
    </w:p>
    <w:p w14:paraId="7D1C3881" w14:textId="77777777" w:rsidR="009034C6" w:rsidRDefault="00784AE8">
      <w:pPr>
        <w:pStyle w:val="Heading1"/>
        <w:ind w:left="306" w:hanging="293"/>
      </w:pPr>
      <w:r>
        <w:t>Model building</w:t>
      </w:r>
    </w:p>
    <w:p w14:paraId="3EB0B023" w14:textId="77777777" w:rsidR="009034C6" w:rsidRDefault="00784AE8">
      <w:pPr>
        <w:pStyle w:val="Heading2"/>
        <w:ind w:left="441" w:hanging="428"/>
      </w:pPr>
      <w:r>
        <w:t>Naive/Climatology</w:t>
      </w:r>
    </w:p>
    <w:p w14:paraId="1B62118C" w14:textId="77777777" w:rsidR="009034C6" w:rsidRDefault="00784AE8">
      <w:pPr>
        <w:spacing w:after="11" w:line="226" w:lineRule="auto"/>
        <w:ind w:left="13" w:right="0" w:firstLine="296"/>
        <w:jc w:val="left"/>
      </w:pPr>
      <w:r>
        <w:t>We start with one of the simplest forecasting approaches used in practice - assuming that in the next few hours, everything will be the same as in the similar hours of a similar day in the past. This is called “Naïve”. In our case, given that we need a distribution of values, we will use a modified approach, used in climatology, where the empirical distribution of the hourly arrival time series is used to forecast the future arrival distribution [21]. We consider the empirical distribution of all available historic data (Benchmark-1) and the empirical distribution of the most recent year of historic data on a rolling basis (Benchmark-2) to capture potential changes in behaviour over time.</w:t>
      </w:r>
    </w:p>
    <w:p w14:paraId="1C47F1BE" w14:textId="77777777" w:rsidR="009034C6" w:rsidRDefault="00784AE8">
      <w:pPr>
        <w:pStyle w:val="Heading2"/>
        <w:spacing w:after="5"/>
        <w:ind w:left="441" w:hanging="428"/>
      </w:pPr>
      <w:r>
        <w:t>Poisson Regression</w:t>
      </w:r>
    </w:p>
    <w:p w14:paraId="0F11BD40" w14:textId="77777777" w:rsidR="009034C6" w:rsidRDefault="00784AE8">
      <w:pPr>
        <w:spacing w:after="51"/>
        <w:ind w:left="13" w:right="0"/>
      </w:pPr>
      <w:r>
        <w:t>Regression is one of the most popular forecasting methods that use explanatory variables to predict a variable of interest (in our case, the ED arrivals). The classical linear regression model is formulated as</w:t>
      </w:r>
    </w:p>
    <w:p w14:paraId="3695EEB5" w14:textId="77777777" w:rsidR="009034C6" w:rsidRDefault="00784AE8">
      <w:pPr>
        <w:tabs>
          <w:tab w:val="center" w:pos="4447"/>
          <w:tab w:val="right" w:pos="8905"/>
        </w:tabs>
        <w:spacing w:after="92" w:line="265" w:lineRule="auto"/>
        <w:ind w:left="0" w:right="0" w:firstLine="0"/>
        <w:jc w:val="left"/>
      </w:pPr>
      <w:r>
        <w:rPr>
          <w:sz w:val="22"/>
        </w:rPr>
        <w:lastRenderedPageBreak/>
        <w:tab/>
      </w:r>
      <w:proofErr w:type="spellStart"/>
      <w:r>
        <w:rPr>
          <w:i/>
        </w:rPr>
        <w:t>y</w:t>
      </w:r>
      <w:r>
        <w:rPr>
          <w:i/>
          <w:vertAlign w:val="subscript"/>
        </w:rPr>
        <w:t>t</w:t>
      </w:r>
      <w:proofErr w:type="spellEnd"/>
      <w:r>
        <w:rPr>
          <w:i/>
          <w:vertAlign w:val="subscript"/>
        </w:rPr>
        <w:t xml:space="preserve"> </w:t>
      </w:r>
      <w:r>
        <w:t xml:space="preserve">= </w:t>
      </w:r>
      <w:proofErr w:type="spellStart"/>
      <w:r>
        <w:rPr>
          <w:b/>
        </w:rPr>
        <w:t>x</w:t>
      </w:r>
      <w:r>
        <w:rPr>
          <w:i/>
          <w:vertAlign w:val="subscript"/>
        </w:rPr>
        <w:t>t</w:t>
      </w:r>
      <w:proofErr w:type="spellEnd"/>
      <w:r>
        <w:rPr>
          <w:i/>
          <w:vertAlign w:val="superscript"/>
        </w:rPr>
        <w:t>′</w:t>
      </w:r>
      <w:r>
        <w:rPr>
          <w:b/>
          <w:i/>
        </w:rPr>
        <w:t xml:space="preserve">β </w:t>
      </w:r>
      <w:r>
        <w:t xml:space="preserve">+ </w:t>
      </w:r>
      <w:r>
        <w:rPr>
          <w:i/>
        </w:rPr>
        <w:t>ϵ</w:t>
      </w:r>
      <w:r>
        <w:rPr>
          <w:i/>
          <w:vertAlign w:val="subscript"/>
        </w:rPr>
        <w:t>t</w:t>
      </w:r>
      <w:r>
        <w:rPr>
          <w:i/>
        </w:rPr>
        <w:t>,</w:t>
      </w:r>
      <w:r>
        <w:rPr>
          <w:i/>
        </w:rPr>
        <w:tab/>
      </w:r>
      <w:r>
        <w:t>(1)</w:t>
      </w:r>
    </w:p>
    <w:p w14:paraId="30F360E9" w14:textId="77777777" w:rsidR="009034C6" w:rsidRDefault="00784AE8">
      <w:pPr>
        <w:spacing w:after="173"/>
        <w:ind w:left="13" w:right="0" w:firstLine="0"/>
      </w:pPr>
      <w:r>
        <w:t xml:space="preserve">where </w:t>
      </w:r>
      <w:proofErr w:type="spellStart"/>
      <w:r>
        <w:rPr>
          <w:b/>
          <w:sz w:val="31"/>
          <w:vertAlign w:val="subscript"/>
        </w:rPr>
        <w:t>x</w:t>
      </w:r>
      <w:r>
        <w:rPr>
          <w:i/>
          <w:vertAlign w:val="subscript"/>
        </w:rPr>
        <w:t>t</w:t>
      </w:r>
      <w:proofErr w:type="spellEnd"/>
      <w:r>
        <w:rPr>
          <w:i/>
          <w:vertAlign w:val="subscript"/>
        </w:rPr>
        <w:t xml:space="preserve"> </w:t>
      </w:r>
      <w:r>
        <w:t xml:space="preserve">is the vector of explanatory variables, </w:t>
      </w:r>
      <w:r>
        <w:rPr>
          <w:b/>
          <w:i/>
          <w:sz w:val="31"/>
          <w:vertAlign w:val="subscript"/>
        </w:rPr>
        <w:t xml:space="preserve">β </w:t>
      </w:r>
      <w:r>
        <w:t xml:space="preserve">is the vector of parameters, </w:t>
      </w:r>
      <w:r>
        <w:rPr>
          <w:i/>
          <w:sz w:val="31"/>
          <w:vertAlign w:val="subscript"/>
        </w:rPr>
        <w:t>ϵ</w:t>
      </w:r>
      <w:r>
        <w:rPr>
          <w:i/>
          <w:vertAlign w:val="subscript"/>
        </w:rPr>
        <w:t xml:space="preserve">t </w:t>
      </w:r>
      <w:r>
        <w:t xml:space="preserve">is the error term, which is typically assumed to follow Normal distribution with zero mean and a fixed variance, and </w:t>
      </w:r>
      <w:r>
        <w:rPr>
          <w:i/>
          <w:sz w:val="31"/>
          <w:vertAlign w:val="subscript"/>
        </w:rPr>
        <w:t xml:space="preserve">t </w:t>
      </w:r>
      <w:r>
        <w:t>is the time index. However, in the context of healthcare and ED arrivals, the assumption of Normality is unrealistic because the number of admitted patients is an integer and non-negative. So the linear regression model should be substituted by some other model. One of the models that is frequently used in practice is the Poisson regression [see, for example, 23], which can be summarised as</w:t>
      </w:r>
    </w:p>
    <w:p w14:paraId="03D9853E" w14:textId="77777777" w:rsidR="009034C6" w:rsidRDefault="00784AE8">
      <w:pPr>
        <w:spacing w:after="3" w:line="259" w:lineRule="auto"/>
        <w:ind w:left="96" w:right="352" w:hanging="10"/>
        <w:jc w:val="center"/>
      </w:pPr>
      <w:proofErr w:type="spellStart"/>
      <w:r>
        <w:rPr>
          <w:i/>
        </w:rPr>
        <w:t>y</w:t>
      </w:r>
      <w:r>
        <w:rPr>
          <w:i/>
          <w:vertAlign w:val="subscript"/>
        </w:rPr>
        <w:t>t</w:t>
      </w:r>
      <w:proofErr w:type="spellEnd"/>
      <w:r>
        <w:rPr>
          <w:i/>
          <w:vertAlign w:val="subscript"/>
        </w:rPr>
        <w:t xml:space="preserve"> </w:t>
      </w:r>
      <w:r>
        <w:rPr>
          <w:i/>
        </w:rPr>
        <w:t xml:space="preserve">∼ </w:t>
      </w:r>
      <w:r>
        <w:t>Poisson(</w:t>
      </w:r>
      <w:proofErr w:type="spellStart"/>
      <w:r>
        <w:rPr>
          <w:i/>
        </w:rPr>
        <w:t>λ</w:t>
      </w:r>
      <w:r>
        <w:rPr>
          <w:i/>
          <w:vertAlign w:val="subscript"/>
        </w:rPr>
        <w:t>t</w:t>
      </w:r>
      <w:proofErr w:type="spellEnd"/>
      <w:r>
        <w:t>)</w:t>
      </w:r>
    </w:p>
    <w:p w14:paraId="4AD950A6" w14:textId="77777777" w:rsidR="009034C6" w:rsidRDefault="00784AE8">
      <w:pPr>
        <w:tabs>
          <w:tab w:val="center" w:pos="4201"/>
          <w:tab w:val="center" w:pos="5278"/>
          <w:tab w:val="right" w:pos="8905"/>
        </w:tabs>
        <w:spacing w:after="89" w:line="265" w:lineRule="auto"/>
        <w:ind w:left="0" w:right="0" w:firstLine="0"/>
        <w:jc w:val="left"/>
      </w:pPr>
      <w:r>
        <w:rPr>
          <w:sz w:val="22"/>
        </w:rPr>
        <w:tab/>
      </w:r>
      <w:r>
        <w:rPr>
          <w:noProof/>
        </w:rPr>
        <w:drawing>
          <wp:inline distT="0" distB="0" distL="0" distR="0" wp14:anchorId="598B7717" wp14:editId="566496C7">
            <wp:extent cx="673608" cy="140208"/>
            <wp:effectExtent l="0" t="0" r="0" b="0"/>
            <wp:docPr id="66523" name="Picture 66523"/>
            <wp:cNvGraphicFramePr/>
            <a:graphic xmlns:a="http://schemas.openxmlformats.org/drawingml/2006/main">
              <a:graphicData uri="http://schemas.openxmlformats.org/drawingml/2006/picture">
                <pic:pic xmlns:pic="http://schemas.openxmlformats.org/drawingml/2006/picture">
                  <pic:nvPicPr>
                    <pic:cNvPr id="66523" name="Picture 66523"/>
                    <pic:cNvPicPr/>
                  </pic:nvPicPr>
                  <pic:blipFill>
                    <a:blip r:embed="rId19"/>
                    <a:stretch>
                      <a:fillRect/>
                    </a:stretch>
                  </pic:blipFill>
                  <pic:spPr>
                    <a:xfrm>
                      <a:off x="0" y="0"/>
                      <a:ext cx="673608" cy="140208"/>
                    </a:xfrm>
                    <a:prstGeom prst="rect">
                      <a:avLst/>
                    </a:prstGeom>
                  </pic:spPr>
                </pic:pic>
              </a:graphicData>
            </a:graphic>
          </wp:inline>
        </w:drawing>
      </w:r>
      <w:r>
        <w:rPr>
          <w:i/>
        </w:rPr>
        <w:tab/>
        <w:t>.</w:t>
      </w:r>
      <w:r>
        <w:rPr>
          <w:i/>
        </w:rPr>
        <w:tab/>
      </w:r>
      <w:r>
        <w:t>(2)</w:t>
      </w:r>
    </w:p>
    <w:p w14:paraId="0DF7C1D4" w14:textId="2C78B629" w:rsidR="009034C6" w:rsidRDefault="00784AE8">
      <w:pPr>
        <w:spacing w:after="93"/>
        <w:ind w:left="13" w:right="0"/>
      </w:pPr>
      <w:r>
        <w:t xml:space="preserve">The logarithm in (2) is needed to ensure that the parameter of Poisson distribution is always positive. This model can be estimated via maximisation of the likelihood function based on Poisson mass </w:t>
      </w:r>
      <w:r w:rsidR="00210A5E">
        <w:t>function.</w:t>
      </w:r>
      <w:r>
        <w:t xml:space="preserve"> There is no single correct answer when selecting explanatory variables for the model, and the decision needs to be made for each specific case. In our experiment, we will only include dummy variables, capturing a variety of calendar events:</w:t>
      </w:r>
    </w:p>
    <w:p w14:paraId="74D3AD77" w14:textId="77777777" w:rsidR="009034C6" w:rsidRDefault="00784AE8">
      <w:pPr>
        <w:numPr>
          <w:ilvl w:val="0"/>
          <w:numId w:val="4"/>
        </w:numPr>
        <w:ind w:right="0" w:hanging="255"/>
      </w:pPr>
      <w:r>
        <w:t>Hour of the day,</w:t>
      </w:r>
    </w:p>
    <w:p w14:paraId="77B2AB0F" w14:textId="77777777" w:rsidR="009034C6" w:rsidRDefault="00784AE8">
      <w:pPr>
        <w:numPr>
          <w:ilvl w:val="0"/>
          <w:numId w:val="4"/>
        </w:numPr>
        <w:ind w:right="0" w:hanging="255"/>
      </w:pPr>
      <w:r>
        <w:t>Day of the week,</w:t>
      </w:r>
    </w:p>
    <w:p w14:paraId="1C594FF8" w14:textId="77777777" w:rsidR="009034C6" w:rsidRDefault="00784AE8">
      <w:pPr>
        <w:numPr>
          <w:ilvl w:val="0"/>
          <w:numId w:val="4"/>
        </w:numPr>
        <w:ind w:right="0" w:hanging="255"/>
      </w:pPr>
      <w:r>
        <w:t>Week of the year,</w:t>
      </w:r>
    </w:p>
    <w:p w14:paraId="295D97C4" w14:textId="77777777" w:rsidR="009034C6" w:rsidRDefault="00784AE8">
      <w:pPr>
        <w:numPr>
          <w:ilvl w:val="0"/>
          <w:numId w:val="4"/>
        </w:numPr>
        <w:ind w:right="0" w:hanging="255"/>
      </w:pPr>
      <w:r>
        <w:t>Holidays (such as Christmas, New Year etc.),</w:t>
      </w:r>
    </w:p>
    <w:p w14:paraId="0693F64D" w14:textId="77777777" w:rsidR="009034C6" w:rsidRDefault="00784AE8">
      <w:pPr>
        <w:numPr>
          <w:ilvl w:val="0"/>
          <w:numId w:val="4"/>
        </w:numPr>
        <w:spacing w:after="101"/>
        <w:ind w:right="0" w:hanging="255"/>
      </w:pPr>
      <w:r>
        <w:t>24 hours lags of holidays.</w:t>
      </w:r>
    </w:p>
    <w:p w14:paraId="755C8F02" w14:textId="77777777" w:rsidR="009034C6" w:rsidRDefault="00784AE8">
      <w:pPr>
        <w:spacing w:after="192"/>
        <w:ind w:left="13" w:right="0"/>
      </w:pPr>
      <w:r>
        <w:t xml:space="preserve">The variables (1)–(3) allow modelling the seasonal patterns on the appropriate level of detail throughout the year, while (4) covers the changes in admittance due to calendar events. Finally, (5) is needed to capture the potential phenomenon of change in admittance after the holiday (e.g. people might try not to go to the hospital on Christmas eve and thus go the next day). This model assumes that all these effects are deterministic and do not change over time. Still, the exponentiation in (2) introduces an interaction effect between dummy variables so that the 3 pm on Monday in January will be different from 3 pm on Monday in July, although the parameters for the hour of day and day of the week are fixed and do not change over time. We use the </w:t>
      </w:r>
      <w:proofErr w:type="spellStart"/>
      <w:r>
        <w:rPr>
          <w:sz w:val="31"/>
          <w:vertAlign w:val="subscript"/>
        </w:rPr>
        <w:t>alm</w:t>
      </w:r>
      <w:proofErr w:type="spellEnd"/>
      <w:r>
        <w:rPr>
          <w:sz w:val="31"/>
          <w:vertAlign w:val="subscript"/>
        </w:rPr>
        <w:t xml:space="preserve">() </w:t>
      </w:r>
      <w:r>
        <w:t xml:space="preserve">function from the </w:t>
      </w:r>
      <w:proofErr w:type="spellStart"/>
      <w:r>
        <w:rPr>
          <w:sz w:val="31"/>
          <w:vertAlign w:val="subscript"/>
        </w:rPr>
        <w:t>greybox</w:t>
      </w:r>
      <w:proofErr w:type="spellEnd"/>
      <w:r>
        <w:rPr>
          <w:sz w:val="31"/>
          <w:vertAlign w:val="subscript"/>
        </w:rPr>
        <w:t xml:space="preserve"> </w:t>
      </w:r>
      <w:r>
        <w:t>package [30] for R [37] for the experiments and denote this model as “Poisson Regression”.</w:t>
      </w:r>
    </w:p>
    <w:p w14:paraId="7AE731EA" w14:textId="77777777" w:rsidR="009034C6" w:rsidRDefault="00784AE8">
      <w:pPr>
        <w:pStyle w:val="Heading2"/>
        <w:spacing w:after="5"/>
        <w:ind w:left="441" w:hanging="428"/>
      </w:pPr>
      <w:r>
        <w:t>ETS - Exponential Smoothing</w:t>
      </w:r>
    </w:p>
    <w:p w14:paraId="1272D752" w14:textId="77777777" w:rsidR="009034C6" w:rsidRDefault="00784AE8">
      <w:pPr>
        <w:spacing w:after="194"/>
        <w:ind w:left="13" w:right="0"/>
      </w:pPr>
      <w:r>
        <w:t xml:space="preserve">Hyndman et al. [18] developed a state space approach for exponential smoothing models. The model can have a set of elements, including different types of Error, Trend and Seasonal components (thus </w:t>
      </w:r>
      <w:r>
        <w:rPr>
          <w:i/>
        </w:rPr>
        <w:t>ETS</w:t>
      </w:r>
      <w:r>
        <w:t xml:space="preserve">). Given the popularity of the ETS model in the forecasting community, we decided to include the basic ETS(A,N,A) model with the seasonal component with a frequency of 24 (hour of the day) as a benchmark. This was done using the </w:t>
      </w:r>
      <w:proofErr w:type="spellStart"/>
      <w:r>
        <w:rPr>
          <w:sz w:val="31"/>
          <w:vertAlign w:val="subscript"/>
        </w:rPr>
        <w:t>adam</w:t>
      </w:r>
      <w:proofErr w:type="spellEnd"/>
      <w:r>
        <w:rPr>
          <w:sz w:val="31"/>
          <w:vertAlign w:val="subscript"/>
        </w:rPr>
        <w:t xml:space="preserve">() </w:t>
      </w:r>
      <w:r>
        <w:t xml:space="preserve">function from the </w:t>
      </w:r>
      <w:r>
        <w:rPr>
          <w:sz w:val="31"/>
          <w:vertAlign w:val="subscript"/>
        </w:rPr>
        <w:t xml:space="preserve">smooth </w:t>
      </w:r>
      <w:r>
        <w:t xml:space="preserve">package [31] for R and denoted as </w:t>
      </w:r>
      <w:r>
        <w:rPr>
          <w:i/>
          <w:sz w:val="31"/>
          <w:vertAlign w:val="subscript"/>
        </w:rPr>
        <w:t>ETS</w:t>
      </w:r>
      <w:r>
        <w:t>. This model does not capture the day of week or week of year effects, does not include explanatory variables, but its seasonal component and level change over time. This model is included as a benchmark, only to see how the other models perform compared to it.</w:t>
      </w:r>
    </w:p>
    <w:p w14:paraId="5ABB1B43" w14:textId="77777777" w:rsidR="009034C6" w:rsidRDefault="00784AE8">
      <w:pPr>
        <w:pStyle w:val="Heading2"/>
        <w:spacing w:after="5"/>
        <w:ind w:left="441" w:hanging="428"/>
      </w:pPr>
      <w:r>
        <w:t>Prophet</w:t>
      </w:r>
    </w:p>
    <w:p w14:paraId="5711B533" w14:textId="77777777" w:rsidR="009034C6" w:rsidRDefault="00784AE8">
      <w:pPr>
        <w:ind w:left="13" w:right="0"/>
      </w:pPr>
      <w:r>
        <w:t xml:space="preserve">Prophet is a forecasting procedure created by Facebook [36] that accounts for multiple seasonality, piecewise trend and holiday effects. Prophet is robust to missing data and shifts in the trend and typically handles outliers well. Prophet works well on daily data seen in Facebook. It is robust and automated, making it easy to learn for beginners. The implementation may be less flexible than other methods. The model itself relies on the Multiple Source of Error state space model, initially proposed by Kalman [19]. The model is </w:t>
      </w:r>
      <w:r>
        <w:lastRenderedPageBreak/>
        <w:t xml:space="preserve">incorporated using the corresponding implementation of the Fable package in R. We use the </w:t>
      </w:r>
      <w:r>
        <w:rPr>
          <w:sz w:val="31"/>
          <w:vertAlign w:val="subscript"/>
        </w:rPr>
        <w:t xml:space="preserve">prophet() </w:t>
      </w:r>
      <w:r>
        <w:t xml:space="preserve">function from the </w:t>
      </w:r>
      <w:r>
        <w:rPr>
          <w:sz w:val="31"/>
          <w:vertAlign w:val="subscript"/>
        </w:rPr>
        <w:t xml:space="preserve">fable </w:t>
      </w:r>
      <w:r>
        <w:t>package [26]. Note that the input data is assigned with an hourly and daily seasonality.</w:t>
      </w:r>
    </w:p>
    <w:p w14:paraId="5D6159E4" w14:textId="77777777" w:rsidR="009034C6" w:rsidRDefault="00784AE8">
      <w:pPr>
        <w:pStyle w:val="Heading2"/>
        <w:ind w:left="441" w:hanging="428"/>
      </w:pPr>
      <w:r>
        <w:t>TBATS</w:t>
      </w:r>
    </w:p>
    <w:p w14:paraId="7AC25D09" w14:textId="77777777" w:rsidR="009034C6" w:rsidRDefault="00784AE8">
      <w:pPr>
        <w:spacing w:after="116"/>
        <w:ind w:left="13" w:right="0"/>
      </w:pPr>
      <w:r>
        <w:t xml:space="preserve">De </w:t>
      </w:r>
      <w:proofErr w:type="spellStart"/>
      <w:r>
        <w:t>Livera</w:t>
      </w:r>
      <w:proofErr w:type="spellEnd"/>
      <w:r>
        <w:t xml:space="preserve"> et al. [9] proposed a model to deal with time series exhibiting multiple complex </w:t>
      </w:r>
      <w:proofErr w:type="spellStart"/>
      <w:r>
        <w:t>seasonalities</w:t>
      </w:r>
      <w:proofErr w:type="spellEnd"/>
      <w:r>
        <w:t xml:space="preserve"> called “TBATS”. It includes a Box-Cox Transformation, ARMA model for residuals and a trigonometric expression of seasonal terms. The latter gives the model more flexibility to deal with fractional seasonality and reduces the parameters of the model when the frequencies of </w:t>
      </w:r>
      <w:proofErr w:type="spellStart"/>
      <w:r>
        <w:t>seasonalities</w:t>
      </w:r>
      <w:proofErr w:type="spellEnd"/>
      <w:r>
        <w:t xml:space="preserve"> are high. We fit a TBATS model using the </w:t>
      </w:r>
      <w:proofErr w:type="spellStart"/>
      <w:r>
        <w:rPr>
          <w:sz w:val="31"/>
          <w:vertAlign w:val="subscript"/>
        </w:rPr>
        <w:t>tbats</w:t>
      </w:r>
      <w:proofErr w:type="spellEnd"/>
      <w:r>
        <w:rPr>
          <w:sz w:val="31"/>
          <w:vertAlign w:val="subscript"/>
        </w:rPr>
        <w:t xml:space="preserve">() </w:t>
      </w:r>
      <w:r>
        <w:t xml:space="preserve">function from the </w:t>
      </w:r>
      <w:r>
        <w:rPr>
          <w:sz w:val="31"/>
          <w:vertAlign w:val="subscript"/>
        </w:rPr>
        <w:t xml:space="preserve">forecast </w:t>
      </w:r>
      <w:r>
        <w:t>package in R [16].</w:t>
      </w:r>
    </w:p>
    <w:p w14:paraId="0D7820FA" w14:textId="77777777" w:rsidR="009034C6" w:rsidRDefault="00784AE8">
      <w:pPr>
        <w:pStyle w:val="Heading2"/>
        <w:ind w:left="441" w:hanging="428"/>
      </w:pPr>
      <w:r>
        <w:t>Quantile Regression and Gradient Boosting Machines</w:t>
      </w:r>
    </w:p>
    <w:p w14:paraId="5495D04A" w14:textId="486F3417" w:rsidR="009034C6" w:rsidRDefault="00784AE8">
      <w:pPr>
        <w:ind w:left="13" w:right="0"/>
      </w:pPr>
      <w:r>
        <w:t xml:space="preserve">Quantile regression allows the production of density forecasts without assuming a fixed distributions shape controlled by a small number of parameters, such as the Poisson distribution with parameter </w:t>
      </w:r>
      <w:r>
        <w:rPr>
          <w:i/>
          <w:sz w:val="31"/>
          <w:vertAlign w:val="subscript"/>
        </w:rPr>
        <w:t>λ</w:t>
      </w:r>
      <w:r>
        <w:t xml:space="preserve">. By producing forecasts of multiple </w:t>
      </w:r>
      <w:r w:rsidR="00210A5E">
        <w:t>quantiles,</w:t>
      </w:r>
      <w:r>
        <w:t xml:space="preserve"> the full predictive distribution can be constructed. Quantile regression is particularly useful where data do not follow a simple distribution, of the distribution shape changes over time of with some covariate, which may be the case with ED arrivals.</w:t>
      </w:r>
    </w:p>
    <w:p w14:paraId="12648CF0" w14:textId="77777777" w:rsidR="009034C6" w:rsidRDefault="00784AE8">
      <w:pPr>
        <w:ind w:left="13" w:right="0"/>
      </w:pPr>
      <w:r>
        <w:t xml:space="preserve">Gradient Boosting Machines (GBM) are a tree-based machine learning model for regression and classification. Here we produce probabilistic forecasts of ED arrivals via multiple quantile regression using GBMs as implemented in the R package </w:t>
      </w:r>
      <w:proofErr w:type="spellStart"/>
      <w:r>
        <w:rPr>
          <w:sz w:val="31"/>
          <w:vertAlign w:val="subscript"/>
        </w:rPr>
        <w:t>gbm</w:t>
      </w:r>
      <w:proofErr w:type="spellEnd"/>
      <w:r>
        <w:rPr>
          <w:sz w:val="31"/>
          <w:vertAlign w:val="subscript"/>
        </w:rPr>
        <w:t xml:space="preserve"> </w:t>
      </w:r>
      <w:r>
        <w:t>[13]. GBMs are a best-in-class algorithm for similar regression problems characterised by modest volumes of training data and possible interactions between input features, and are therefore an appealing choice for ED arrival forecasting. Here GBMs are fit with the following features: hour of the day, day of the week, school holiday, temperature and day of the year. Hyperparameters are chosen via grid search on the training data, and were chosen as follows: 500 trees, an interaction depth of 2, and a shrinkage 0.1. An advantage of GBMs is their ability to learn interactions in comparison to the additive models presented later which require the user to specify possible interactions between inputs. Here GBM is included as a reference for the performance of</w:t>
      </w:r>
    </w:p>
    <w:p w14:paraId="367F95CD" w14:textId="77777777" w:rsidR="009034C6" w:rsidRDefault="00784AE8">
      <w:pPr>
        <w:spacing w:after="247" w:line="226" w:lineRule="auto"/>
        <w:ind w:left="41" w:right="0" w:hanging="28"/>
        <w:jc w:val="left"/>
      </w:pPr>
      <w:r>
        <w:t xml:space="preserve">‘out-of-the-box’ machine learning models applied with minimal effort. We also explored the possibility of performing linear regression with additive models, but these did not perform as well as GBM so are </w:t>
      </w:r>
      <w:proofErr w:type="spellStart"/>
      <w:r>
        <w:t>omited</w:t>
      </w:r>
      <w:proofErr w:type="spellEnd"/>
      <w:r>
        <w:t xml:space="preserve"> for brevity.</w:t>
      </w:r>
    </w:p>
    <w:p w14:paraId="57A29F4E" w14:textId="77777777" w:rsidR="009034C6" w:rsidRDefault="00784AE8">
      <w:pPr>
        <w:pStyle w:val="Heading2"/>
        <w:ind w:left="441" w:hanging="428"/>
      </w:pPr>
      <w:r>
        <w:t xml:space="preserve">ADAM: multiple seasonal </w:t>
      </w:r>
      <w:proofErr w:type="spellStart"/>
      <w:r>
        <w:t>iETSX</w:t>
      </w:r>
      <w:proofErr w:type="spellEnd"/>
    </w:p>
    <w:p w14:paraId="14C65844" w14:textId="77777777" w:rsidR="009034C6" w:rsidRDefault="00784AE8">
      <w:pPr>
        <w:spacing w:after="275"/>
        <w:ind w:left="13" w:right="0"/>
      </w:pPr>
      <w:proofErr w:type="spellStart"/>
      <w:r>
        <w:t>Svetunkov</w:t>
      </w:r>
      <w:proofErr w:type="spellEnd"/>
      <w:r>
        <w:t xml:space="preserve"> [33] proposed a framework for dynamic models called the Augmented Dynamic Adaptive Model (ADAM). This framework encompasses ARIMA [4], ETS [18] and regression, supporting multiple frequencies, non-normal distributions and intermittent demand [34]. Based on this framework, we use the ETS(M,N,M) model with frequencies 24 (hour of the day) and 168 (hour of the week), adding dummy variables for the week of the year, holidays and lagged holidays. This way, we update the hour of day and day of week seasonal indices, keeping the week of year one fixed, thus reducing the number of estimated parameters. Given that the data exhibits randomly occurring zeroes, we use the direct probability model of </w:t>
      </w:r>
      <w:proofErr w:type="spellStart"/>
      <w:r>
        <w:t>Svetunkov</w:t>
      </w:r>
      <w:proofErr w:type="spellEnd"/>
      <w:r>
        <w:t xml:space="preserve"> and Boylan [34] to treat those values. Finally, given the skewness of the empirical distribution observed in the preliminary analysis, we use the Gamma distribution for the error term. This model can be formulated as a set of the following equations:</w:t>
      </w:r>
    </w:p>
    <w:p w14:paraId="1834F5E2" w14:textId="77777777" w:rsidR="009034C6" w:rsidRDefault="00784AE8">
      <w:pPr>
        <w:spacing w:after="110" w:line="259" w:lineRule="auto"/>
        <w:ind w:left="1706" w:right="0" w:firstLine="0"/>
        <w:jc w:val="left"/>
      </w:pPr>
      <w:proofErr w:type="spellStart"/>
      <w:r>
        <w:rPr>
          <w:i/>
        </w:rPr>
        <w:t>y</w:t>
      </w:r>
      <w:r>
        <w:rPr>
          <w:i/>
          <w:sz w:val="14"/>
        </w:rPr>
        <w:t>t</w:t>
      </w:r>
      <w:proofErr w:type="spellEnd"/>
      <w:r>
        <w:rPr>
          <w:i/>
          <w:sz w:val="14"/>
        </w:rPr>
        <w:t xml:space="preserve"> </w:t>
      </w:r>
      <w:r>
        <w:t xml:space="preserve">= </w:t>
      </w:r>
      <w:proofErr w:type="spellStart"/>
      <w:r>
        <w:rPr>
          <w:i/>
        </w:rPr>
        <w:t>o</w:t>
      </w:r>
      <w:r>
        <w:rPr>
          <w:i/>
          <w:sz w:val="14"/>
        </w:rPr>
        <w:t>t</w:t>
      </w:r>
      <w:r>
        <w:rPr>
          <w:i/>
        </w:rPr>
        <w:t>z</w:t>
      </w:r>
      <w:r>
        <w:rPr>
          <w:i/>
          <w:sz w:val="14"/>
        </w:rPr>
        <w:t>t</w:t>
      </w:r>
      <w:proofErr w:type="spellEnd"/>
    </w:p>
    <w:p w14:paraId="42C99606" w14:textId="77777777" w:rsidR="009034C6" w:rsidRDefault="00784AE8">
      <w:pPr>
        <w:spacing w:line="359" w:lineRule="auto"/>
        <w:ind w:left="1739" w:right="1772" w:firstLine="0"/>
      </w:pPr>
      <w:proofErr w:type="spellStart"/>
      <w:r>
        <w:t>log</w:t>
      </w:r>
      <w:r>
        <w:rPr>
          <w:i/>
        </w:rPr>
        <w:t>z</w:t>
      </w:r>
      <w:r>
        <w:rPr>
          <w:i/>
          <w:sz w:val="14"/>
        </w:rPr>
        <w:t>t</w:t>
      </w:r>
      <w:proofErr w:type="spellEnd"/>
      <w:r>
        <w:rPr>
          <w:i/>
          <w:sz w:val="14"/>
        </w:rPr>
        <w:t xml:space="preserve"> </w:t>
      </w:r>
      <w:r>
        <w:t>= log</w:t>
      </w:r>
      <w:r>
        <w:rPr>
          <w:i/>
        </w:rPr>
        <w:t>l</w:t>
      </w:r>
      <w:r>
        <w:rPr>
          <w:i/>
          <w:sz w:val="14"/>
        </w:rPr>
        <w:t>t−</w:t>
      </w:r>
      <w:r>
        <w:rPr>
          <w:sz w:val="14"/>
        </w:rPr>
        <w:t xml:space="preserve">1 </w:t>
      </w:r>
      <w:r>
        <w:t>+ log</w:t>
      </w:r>
      <w:r>
        <w:rPr>
          <w:i/>
        </w:rPr>
        <w:t>s</w:t>
      </w:r>
      <w:r>
        <w:rPr>
          <w:sz w:val="14"/>
        </w:rPr>
        <w:t>1</w:t>
      </w:r>
      <w:r>
        <w:rPr>
          <w:i/>
          <w:sz w:val="14"/>
        </w:rPr>
        <w:t>,t−</w:t>
      </w:r>
      <w:r>
        <w:rPr>
          <w:sz w:val="14"/>
        </w:rPr>
        <w:t xml:space="preserve">24 </w:t>
      </w:r>
      <w:r>
        <w:t>+ log</w:t>
      </w:r>
      <w:r>
        <w:rPr>
          <w:i/>
        </w:rPr>
        <w:t>s</w:t>
      </w:r>
      <w:r>
        <w:rPr>
          <w:sz w:val="14"/>
        </w:rPr>
        <w:t>2</w:t>
      </w:r>
      <w:r>
        <w:rPr>
          <w:i/>
          <w:sz w:val="14"/>
        </w:rPr>
        <w:t>,t−</w:t>
      </w:r>
      <w:r>
        <w:rPr>
          <w:sz w:val="14"/>
        </w:rPr>
        <w:t xml:space="preserve">168 </w:t>
      </w:r>
      <w:r>
        <w:t xml:space="preserve">+ </w:t>
      </w:r>
      <w:proofErr w:type="spellStart"/>
      <w:r>
        <w:rPr>
          <w:b/>
        </w:rPr>
        <w:t>x</w:t>
      </w:r>
      <w:r>
        <w:rPr>
          <w:i/>
          <w:sz w:val="14"/>
        </w:rPr>
        <w:t>t</w:t>
      </w:r>
      <w:proofErr w:type="spellEnd"/>
      <w:r>
        <w:rPr>
          <w:i/>
          <w:sz w:val="14"/>
        </w:rPr>
        <w:t>′</w:t>
      </w:r>
      <w:r>
        <w:rPr>
          <w:b/>
          <w:i/>
        </w:rPr>
        <w:t xml:space="preserve">β </w:t>
      </w:r>
      <w:r>
        <w:t xml:space="preserve">+ log(1 + </w:t>
      </w:r>
      <w:r>
        <w:rPr>
          <w:i/>
        </w:rPr>
        <w:t>ϵ</w:t>
      </w:r>
      <w:r>
        <w:rPr>
          <w:i/>
          <w:sz w:val="14"/>
        </w:rPr>
        <w:t>t</w:t>
      </w:r>
      <w:r>
        <w:t xml:space="preserve">) </w:t>
      </w:r>
      <w:proofErr w:type="spellStart"/>
      <w:r>
        <w:t>log</w:t>
      </w:r>
      <w:r>
        <w:rPr>
          <w:i/>
        </w:rPr>
        <w:t>l</w:t>
      </w:r>
      <w:r>
        <w:rPr>
          <w:i/>
          <w:vertAlign w:val="subscript"/>
        </w:rPr>
        <w:t>t</w:t>
      </w:r>
      <w:proofErr w:type="spellEnd"/>
      <w:r>
        <w:rPr>
          <w:i/>
          <w:vertAlign w:val="subscript"/>
        </w:rPr>
        <w:t xml:space="preserve"> </w:t>
      </w:r>
      <w:r>
        <w:t>= log</w:t>
      </w:r>
      <w:r>
        <w:rPr>
          <w:i/>
        </w:rPr>
        <w:t>l</w:t>
      </w:r>
      <w:r>
        <w:rPr>
          <w:i/>
          <w:vertAlign w:val="subscript"/>
        </w:rPr>
        <w:t>t−</w:t>
      </w:r>
      <w:r>
        <w:rPr>
          <w:vertAlign w:val="subscript"/>
        </w:rPr>
        <w:t xml:space="preserve">1 </w:t>
      </w:r>
      <w:r>
        <w:t xml:space="preserve">+ log(1 + </w:t>
      </w:r>
      <w:r>
        <w:rPr>
          <w:i/>
        </w:rPr>
        <w:t>αϵ</w:t>
      </w:r>
      <w:r>
        <w:rPr>
          <w:i/>
          <w:vertAlign w:val="subscript"/>
        </w:rPr>
        <w:t>t</w:t>
      </w:r>
      <w:r>
        <w:t>) log</w:t>
      </w:r>
      <w:r>
        <w:rPr>
          <w:i/>
        </w:rPr>
        <w:t>s</w:t>
      </w:r>
      <w:r>
        <w:rPr>
          <w:sz w:val="14"/>
        </w:rPr>
        <w:t>1</w:t>
      </w:r>
      <w:r>
        <w:rPr>
          <w:i/>
          <w:sz w:val="14"/>
        </w:rPr>
        <w:t xml:space="preserve">,t </w:t>
      </w:r>
      <w:r>
        <w:t>= log</w:t>
      </w:r>
      <w:r>
        <w:rPr>
          <w:i/>
        </w:rPr>
        <w:t>s</w:t>
      </w:r>
      <w:r>
        <w:rPr>
          <w:sz w:val="14"/>
        </w:rPr>
        <w:t>1</w:t>
      </w:r>
      <w:r>
        <w:rPr>
          <w:i/>
          <w:sz w:val="14"/>
        </w:rPr>
        <w:t xml:space="preserve">,t−m </w:t>
      </w:r>
      <w:r>
        <w:t xml:space="preserve">+ log(1 + </w:t>
      </w:r>
      <w:r>
        <w:rPr>
          <w:i/>
        </w:rPr>
        <w:t>γ</w:t>
      </w:r>
      <w:r>
        <w:rPr>
          <w:sz w:val="14"/>
        </w:rPr>
        <w:t>1</w:t>
      </w:r>
      <w:r>
        <w:rPr>
          <w:i/>
        </w:rPr>
        <w:t>ϵ</w:t>
      </w:r>
      <w:r>
        <w:rPr>
          <w:i/>
          <w:sz w:val="14"/>
        </w:rPr>
        <w:t>t</w:t>
      </w:r>
      <w:r>
        <w:t>)</w:t>
      </w:r>
    </w:p>
    <w:p w14:paraId="4A8D437D" w14:textId="77777777" w:rsidR="009034C6" w:rsidRDefault="00784AE8">
      <w:pPr>
        <w:spacing w:after="64" w:line="376" w:lineRule="auto"/>
        <w:ind w:left="1706" w:right="0" w:firstLine="33"/>
      </w:pPr>
      <w:r>
        <w:t>log</w:t>
      </w:r>
      <w:r>
        <w:rPr>
          <w:i/>
        </w:rPr>
        <w:t>s</w:t>
      </w:r>
      <w:r>
        <w:rPr>
          <w:vertAlign w:val="subscript"/>
        </w:rPr>
        <w:t>2</w:t>
      </w:r>
      <w:r>
        <w:rPr>
          <w:i/>
          <w:vertAlign w:val="subscript"/>
        </w:rPr>
        <w:t xml:space="preserve">,t </w:t>
      </w:r>
      <w:r>
        <w:t>= log</w:t>
      </w:r>
      <w:r>
        <w:rPr>
          <w:i/>
        </w:rPr>
        <w:t>s</w:t>
      </w:r>
      <w:r>
        <w:rPr>
          <w:vertAlign w:val="subscript"/>
        </w:rPr>
        <w:t>2</w:t>
      </w:r>
      <w:r>
        <w:rPr>
          <w:i/>
          <w:vertAlign w:val="subscript"/>
        </w:rPr>
        <w:t xml:space="preserve">,t−m </w:t>
      </w:r>
      <w:r>
        <w:t xml:space="preserve">+ log(1 + </w:t>
      </w:r>
      <w:r>
        <w:rPr>
          <w:i/>
        </w:rPr>
        <w:t>γ</w:t>
      </w:r>
      <w:r>
        <w:rPr>
          <w:vertAlign w:val="subscript"/>
        </w:rPr>
        <w:t>2</w:t>
      </w:r>
      <w:r>
        <w:rPr>
          <w:i/>
        </w:rPr>
        <w:t>ϵ</w:t>
      </w:r>
      <w:r>
        <w:rPr>
          <w:i/>
          <w:vertAlign w:val="subscript"/>
        </w:rPr>
        <w:t>t</w:t>
      </w:r>
      <w:r>
        <w:t xml:space="preserve">) </w:t>
      </w:r>
      <w:r>
        <w:rPr>
          <w:i/>
        </w:rPr>
        <w:t xml:space="preserve">, </w:t>
      </w:r>
      <w:r>
        <w:t xml:space="preserve">(3) </w:t>
      </w:r>
      <w:proofErr w:type="spellStart"/>
      <w:r>
        <w:rPr>
          <w:i/>
        </w:rPr>
        <w:t>o</w:t>
      </w:r>
      <w:r>
        <w:rPr>
          <w:i/>
          <w:vertAlign w:val="subscript"/>
        </w:rPr>
        <w:t>t</w:t>
      </w:r>
      <w:proofErr w:type="spellEnd"/>
      <w:r>
        <w:rPr>
          <w:i/>
          <w:vertAlign w:val="subscript"/>
        </w:rPr>
        <w:t xml:space="preserve"> </w:t>
      </w:r>
      <w:r>
        <w:rPr>
          <w:i/>
        </w:rPr>
        <w:t xml:space="preserve">∼ </w:t>
      </w:r>
      <w:r>
        <w:t>Bernoulli(</w:t>
      </w:r>
      <w:r>
        <w:rPr>
          <w:i/>
        </w:rPr>
        <w:t>µ</w:t>
      </w:r>
      <w:proofErr w:type="spellStart"/>
      <w:r>
        <w:rPr>
          <w:i/>
          <w:vertAlign w:val="subscript"/>
        </w:rPr>
        <w:t>a,t</w:t>
      </w:r>
      <w:proofErr w:type="spellEnd"/>
      <w:r>
        <w:t xml:space="preserve">) </w:t>
      </w:r>
      <w:r>
        <w:rPr>
          <w:i/>
        </w:rPr>
        <w:t>a</w:t>
      </w:r>
      <w:r>
        <w:rPr>
          <w:i/>
          <w:sz w:val="14"/>
        </w:rPr>
        <w:t xml:space="preserve">t </w:t>
      </w:r>
      <w:r>
        <w:t xml:space="preserve">= </w:t>
      </w:r>
      <w:r>
        <w:rPr>
          <w:i/>
        </w:rPr>
        <w:t>l</w:t>
      </w:r>
      <w:r>
        <w:rPr>
          <w:i/>
          <w:sz w:val="14"/>
        </w:rPr>
        <w:t>a,t−</w:t>
      </w:r>
      <w:r>
        <w:rPr>
          <w:sz w:val="14"/>
        </w:rPr>
        <w:t xml:space="preserve">1 </w:t>
      </w:r>
      <w:r>
        <w:t xml:space="preserve">(1 + </w:t>
      </w:r>
      <w:r>
        <w:rPr>
          <w:i/>
        </w:rPr>
        <w:t>ϵ</w:t>
      </w:r>
      <w:proofErr w:type="spellStart"/>
      <w:r>
        <w:rPr>
          <w:i/>
          <w:sz w:val="14"/>
        </w:rPr>
        <w:t>a,t</w:t>
      </w:r>
      <w:proofErr w:type="spellEnd"/>
      <w:r>
        <w:t xml:space="preserve">) </w:t>
      </w:r>
      <w:proofErr w:type="spellStart"/>
      <w:r>
        <w:rPr>
          <w:i/>
        </w:rPr>
        <w:t>l</w:t>
      </w:r>
      <w:r>
        <w:rPr>
          <w:i/>
          <w:sz w:val="14"/>
        </w:rPr>
        <w:t>a,t</w:t>
      </w:r>
      <w:proofErr w:type="spellEnd"/>
      <w:r>
        <w:rPr>
          <w:i/>
          <w:sz w:val="14"/>
        </w:rPr>
        <w:t xml:space="preserve"> </w:t>
      </w:r>
      <w:r>
        <w:t xml:space="preserve">= </w:t>
      </w:r>
      <w:r>
        <w:rPr>
          <w:i/>
        </w:rPr>
        <w:t>l</w:t>
      </w:r>
      <w:r>
        <w:rPr>
          <w:i/>
          <w:sz w:val="14"/>
        </w:rPr>
        <w:t>a,t−</w:t>
      </w:r>
      <w:r>
        <w:rPr>
          <w:sz w:val="14"/>
        </w:rPr>
        <w:t>1</w:t>
      </w:r>
      <w:r>
        <w:t xml:space="preserve">(1 + </w:t>
      </w:r>
      <w:r>
        <w:rPr>
          <w:i/>
        </w:rPr>
        <w:t>α</w:t>
      </w:r>
      <w:proofErr w:type="spellStart"/>
      <w:r>
        <w:rPr>
          <w:i/>
          <w:sz w:val="14"/>
        </w:rPr>
        <w:t>a</w:t>
      </w:r>
      <w:r>
        <w:rPr>
          <w:i/>
        </w:rPr>
        <w:t>ϵ</w:t>
      </w:r>
      <w:r>
        <w:rPr>
          <w:i/>
          <w:sz w:val="14"/>
        </w:rPr>
        <w:t>a,t</w:t>
      </w:r>
      <w:proofErr w:type="spellEnd"/>
      <w:r>
        <w:t xml:space="preserve">) </w:t>
      </w:r>
      <w:r>
        <w:rPr>
          <w:i/>
        </w:rPr>
        <w:t>µ</w:t>
      </w:r>
      <w:proofErr w:type="spellStart"/>
      <w:r>
        <w:rPr>
          <w:i/>
          <w:sz w:val="14"/>
        </w:rPr>
        <w:t>a,t</w:t>
      </w:r>
      <w:proofErr w:type="spellEnd"/>
      <w:r>
        <w:rPr>
          <w:i/>
          <w:sz w:val="14"/>
        </w:rPr>
        <w:t xml:space="preserve"> </w:t>
      </w:r>
      <w:r>
        <w:t>= min(</w:t>
      </w:r>
      <w:r>
        <w:rPr>
          <w:i/>
        </w:rPr>
        <w:t>l</w:t>
      </w:r>
      <w:r>
        <w:rPr>
          <w:i/>
          <w:sz w:val="14"/>
        </w:rPr>
        <w:t>a,t−</w:t>
      </w:r>
      <w:r>
        <w:rPr>
          <w:sz w:val="14"/>
        </w:rPr>
        <w:t>1</w:t>
      </w:r>
      <w:r>
        <w:rPr>
          <w:i/>
        </w:rPr>
        <w:t>,</w:t>
      </w:r>
      <w:r>
        <w:t>1)</w:t>
      </w:r>
    </w:p>
    <w:p w14:paraId="2862EE0D" w14:textId="77777777" w:rsidR="009034C6" w:rsidRDefault="00784AE8">
      <w:pPr>
        <w:ind w:left="20" w:right="0" w:hanging="7"/>
      </w:pPr>
      <w:r>
        <w:lastRenderedPageBreak/>
        <w:t xml:space="preserve">where </w:t>
      </w:r>
      <w:r>
        <w:rPr>
          <w:i/>
          <w:sz w:val="31"/>
          <w:vertAlign w:val="subscript"/>
        </w:rPr>
        <w:t>α</w:t>
      </w:r>
      <w:r>
        <w:t xml:space="preserve">, </w:t>
      </w:r>
      <w:r>
        <w:rPr>
          <w:i/>
          <w:sz w:val="31"/>
          <w:vertAlign w:val="subscript"/>
        </w:rPr>
        <w:t>β</w:t>
      </w:r>
      <w:r>
        <w:t xml:space="preserve">, </w:t>
      </w:r>
      <w:r>
        <w:rPr>
          <w:i/>
          <w:sz w:val="31"/>
          <w:vertAlign w:val="subscript"/>
        </w:rPr>
        <w:t>γ</w:t>
      </w:r>
      <w:r>
        <w:rPr>
          <w:vertAlign w:val="subscript"/>
        </w:rPr>
        <w:t>1</w:t>
      </w:r>
      <w:r>
        <w:t xml:space="preserve">, </w:t>
      </w:r>
      <w:r>
        <w:rPr>
          <w:i/>
          <w:sz w:val="31"/>
          <w:vertAlign w:val="subscript"/>
        </w:rPr>
        <w:t>γ</w:t>
      </w:r>
      <w:r>
        <w:rPr>
          <w:vertAlign w:val="subscript"/>
        </w:rPr>
        <w:t xml:space="preserve">2 </w:t>
      </w:r>
      <w:r>
        <w:t xml:space="preserve">and </w:t>
      </w:r>
      <w:r>
        <w:rPr>
          <w:i/>
          <w:sz w:val="31"/>
          <w:vertAlign w:val="subscript"/>
        </w:rPr>
        <w:t>α</w:t>
      </w:r>
      <w:r>
        <w:rPr>
          <w:i/>
          <w:vertAlign w:val="subscript"/>
        </w:rPr>
        <w:t xml:space="preserve">a </w:t>
      </w:r>
      <w:r>
        <w:t xml:space="preserve">are the smoothing parameters, defining how adaptive the components of the model should be, </w:t>
      </w:r>
      <w:proofErr w:type="spellStart"/>
      <w:r>
        <w:rPr>
          <w:i/>
          <w:sz w:val="31"/>
          <w:vertAlign w:val="subscript"/>
        </w:rPr>
        <w:t>l</w:t>
      </w:r>
      <w:r>
        <w:rPr>
          <w:i/>
          <w:vertAlign w:val="subscript"/>
        </w:rPr>
        <w:t>t</w:t>
      </w:r>
      <w:proofErr w:type="spellEnd"/>
      <w:r>
        <w:rPr>
          <w:i/>
          <w:vertAlign w:val="subscript"/>
        </w:rPr>
        <w:t xml:space="preserve"> </w:t>
      </w:r>
      <w:r>
        <w:t xml:space="preserve">is the level component for the demand sizes, </w:t>
      </w:r>
      <w:r>
        <w:rPr>
          <w:i/>
          <w:sz w:val="31"/>
          <w:vertAlign w:val="subscript"/>
        </w:rPr>
        <w:t>s</w:t>
      </w:r>
      <w:r>
        <w:rPr>
          <w:vertAlign w:val="subscript"/>
        </w:rPr>
        <w:t>1</w:t>
      </w:r>
      <w:r>
        <w:rPr>
          <w:i/>
          <w:vertAlign w:val="subscript"/>
        </w:rPr>
        <w:t xml:space="preserve">,t </w:t>
      </w:r>
      <w:r>
        <w:t xml:space="preserve">and </w:t>
      </w:r>
      <w:r>
        <w:rPr>
          <w:i/>
          <w:sz w:val="31"/>
          <w:vertAlign w:val="subscript"/>
        </w:rPr>
        <w:t>s</w:t>
      </w:r>
      <w:r>
        <w:rPr>
          <w:vertAlign w:val="subscript"/>
        </w:rPr>
        <w:t>2</w:t>
      </w:r>
      <w:r>
        <w:rPr>
          <w:i/>
          <w:vertAlign w:val="subscript"/>
        </w:rPr>
        <w:t xml:space="preserve">,t </w:t>
      </w:r>
      <w:r>
        <w:t xml:space="preserve">are the seasonal components, </w:t>
      </w:r>
      <w:r>
        <w:rPr>
          <w:b/>
          <w:i/>
          <w:sz w:val="31"/>
          <w:vertAlign w:val="subscript"/>
        </w:rPr>
        <w:t xml:space="preserve">β </w:t>
      </w:r>
      <w:r>
        <w:t xml:space="preserve">is the vector of parameters for the explanatory variables, </w:t>
      </w:r>
      <w:proofErr w:type="spellStart"/>
      <w:r>
        <w:rPr>
          <w:i/>
          <w:sz w:val="31"/>
          <w:vertAlign w:val="subscript"/>
        </w:rPr>
        <w:t>o</w:t>
      </w:r>
      <w:r>
        <w:rPr>
          <w:i/>
          <w:vertAlign w:val="subscript"/>
        </w:rPr>
        <w:t>t</w:t>
      </w:r>
      <w:proofErr w:type="spellEnd"/>
      <w:r>
        <w:rPr>
          <w:i/>
          <w:vertAlign w:val="subscript"/>
        </w:rPr>
        <w:t xml:space="preserve"> </w:t>
      </w:r>
      <w:r>
        <w:t xml:space="preserve">is the binary variable, which is equal to one, when demand occurs and to zero otherwise, </w:t>
      </w:r>
      <w:r>
        <w:rPr>
          <w:i/>
          <w:sz w:val="31"/>
          <w:vertAlign w:val="subscript"/>
        </w:rPr>
        <w:t>l</w:t>
      </w:r>
      <w:r>
        <w:rPr>
          <w:i/>
          <w:vertAlign w:val="subscript"/>
        </w:rPr>
        <w:t>a,t−</w:t>
      </w:r>
      <w:r>
        <w:rPr>
          <w:vertAlign w:val="subscript"/>
        </w:rPr>
        <w:t xml:space="preserve">1 </w:t>
      </w:r>
      <w:r>
        <w:t xml:space="preserve">is the level component for the occurrence part of the model, and (1 + </w:t>
      </w:r>
      <w:r>
        <w:rPr>
          <w:i/>
          <w:sz w:val="31"/>
          <w:vertAlign w:val="subscript"/>
        </w:rPr>
        <w:t>ϵ</w:t>
      </w:r>
      <w:r>
        <w:rPr>
          <w:i/>
          <w:vertAlign w:val="subscript"/>
        </w:rPr>
        <w:t>t</w:t>
      </w:r>
      <w:r>
        <w:t xml:space="preserve">) </w:t>
      </w:r>
      <w:r>
        <w:rPr>
          <w:i/>
        </w:rPr>
        <w:t xml:space="preserve">∼ </w:t>
      </w:r>
      <w:r>
        <w:t>Γ(</w:t>
      </w:r>
      <w:r>
        <w:rPr>
          <w:i/>
          <w:sz w:val="31"/>
          <w:vertAlign w:val="subscript"/>
        </w:rPr>
        <w:t>s</w:t>
      </w:r>
      <w:r>
        <w:rPr>
          <w:i/>
          <w:vertAlign w:val="superscript"/>
        </w:rPr>
        <w:t>−</w:t>
      </w:r>
      <w:r>
        <w:rPr>
          <w:vertAlign w:val="superscript"/>
        </w:rPr>
        <w:t>1</w:t>
      </w:r>
      <w:r>
        <w:rPr>
          <w:i/>
          <w:sz w:val="31"/>
          <w:vertAlign w:val="subscript"/>
        </w:rPr>
        <w:t>,s</w:t>
      </w:r>
      <w:r>
        <w:t xml:space="preserve">), where </w:t>
      </w:r>
      <w:r>
        <w:rPr>
          <w:i/>
          <w:sz w:val="31"/>
          <w:vertAlign w:val="subscript"/>
        </w:rPr>
        <w:t xml:space="preserve">s </w:t>
      </w:r>
      <w:r>
        <w:t xml:space="preserve">= </w:t>
      </w:r>
      <w:r>
        <w:rPr>
          <w:i/>
          <w:vertAlign w:val="subscript"/>
        </w:rPr>
        <w:t>T</w:t>
      </w:r>
      <w:r>
        <w:rPr>
          <w:u w:val="single" w:color="000000"/>
          <w:vertAlign w:val="superscript"/>
        </w:rPr>
        <w:t xml:space="preserve">1 </w:t>
      </w:r>
      <w:proofErr w:type="spellStart"/>
      <w:r>
        <w:rPr>
          <w:sz w:val="31"/>
          <w:vertAlign w:val="superscript"/>
        </w:rPr>
        <w:t>P</w:t>
      </w:r>
      <w:r>
        <w:rPr>
          <w:i/>
          <w:vertAlign w:val="subscript"/>
        </w:rPr>
        <w:t>t</w:t>
      </w:r>
      <w:r>
        <w:rPr>
          <w:i/>
          <w:vertAlign w:val="superscript"/>
        </w:rPr>
        <w:t>T</w:t>
      </w:r>
      <w:proofErr w:type="spellEnd"/>
      <w:r>
        <w:rPr>
          <w:vertAlign w:val="subscript"/>
        </w:rPr>
        <w:t xml:space="preserve">=1 </w:t>
      </w:r>
      <w:r>
        <w:rPr>
          <w:i/>
        </w:rPr>
        <w:t>e</w:t>
      </w:r>
      <w:r>
        <w:rPr>
          <w:vertAlign w:val="superscript"/>
        </w:rPr>
        <w:t>2</w:t>
      </w:r>
      <w:r>
        <w:rPr>
          <w:i/>
          <w:vertAlign w:val="subscript"/>
        </w:rPr>
        <w:t xml:space="preserve">t </w:t>
      </w:r>
      <w:r>
        <w:t xml:space="preserve">is the scale of the distribution. Finally, </w:t>
      </w:r>
      <w:r>
        <w:rPr>
          <w:i/>
          <w:sz w:val="31"/>
          <w:vertAlign w:val="subscript"/>
        </w:rPr>
        <w:t>a</w:t>
      </w:r>
      <w:r>
        <w:rPr>
          <w:i/>
          <w:vertAlign w:val="subscript"/>
        </w:rPr>
        <w:t xml:space="preserve">t </w:t>
      </w:r>
      <w:r>
        <w:t>is an unobservable series, underlying the occurrence part of the model and</w:t>
      </w:r>
    </w:p>
    <w:p w14:paraId="765321D1" w14:textId="77777777" w:rsidR="009034C6" w:rsidRDefault="00784AE8">
      <w:pPr>
        <w:spacing w:after="232"/>
        <w:ind w:left="36" w:right="0" w:hanging="23"/>
      </w:pPr>
      <w:r>
        <w:t>(1+</w:t>
      </w:r>
      <w:r>
        <w:rPr>
          <w:i/>
          <w:sz w:val="31"/>
          <w:vertAlign w:val="subscript"/>
        </w:rPr>
        <w:t>ϵ</w:t>
      </w:r>
      <w:proofErr w:type="spellStart"/>
      <w:r>
        <w:rPr>
          <w:i/>
          <w:vertAlign w:val="subscript"/>
        </w:rPr>
        <w:t>a,t</w:t>
      </w:r>
      <w:proofErr w:type="spellEnd"/>
      <w:r>
        <w:t xml:space="preserve">) is an unobservable error term for </w:t>
      </w:r>
      <w:r>
        <w:rPr>
          <w:i/>
          <w:sz w:val="31"/>
          <w:vertAlign w:val="subscript"/>
        </w:rPr>
        <w:t>a</w:t>
      </w:r>
      <w:r>
        <w:rPr>
          <w:i/>
          <w:vertAlign w:val="subscript"/>
        </w:rPr>
        <w:t>t</w:t>
      </w:r>
      <w:r>
        <w:t xml:space="preserve">. </w:t>
      </w:r>
      <w:proofErr w:type="spellStart"/>
      <w:r>
        <w:t>Svetunkov</w:t>
      </w:r>
      <w:proofErr w:type="spellEnd"/>
      <w:r>
        <w:t xml:space="preserve"> and Boylan [34] discuss how to estimate such a model. We expect this model to perform on par with the Poisson regression, potentially outperforming it in some instances, due to the dynamic nature of the model (level and seasonal components). Although the data is integer-valued, we expect that Gamma distribution will be a good approximation for it. If integer-valued quantiles are needed, then rounding up can be done for them (see Appendix 8.1 for the explanation). This model is implemented in the </w:t>
      </w:r>
      <w:proofErr w:type="spellStart"/>
      <w:r>
        <w:rPr>
          <w:sz w:val="31"/>
          <w:vertAlign w:val="subscript"/>
        </w:rPr>
        <w:t>adam</w:t>
      </w:r>
      <w:proofErr w:type="spellEnd"/>
      <w:r>
        <w:rPr>
          <w:sz w:val="31"/>
          <w:vertAlign w:val="subscript"/>
        </w:rPr>
        <w:t xml:space="preserve">() </w:t>
      </w:r>
      <w:r>
        <w:t xml:space="preserve">function from the </w:t>
      </w:r>
      <w:r>
        <w:rPr>
          <w:sz w:val="31"/>
          <w:vertAlign w:val="subscript"/>
        </w:rPr>
        <w:t xml:space="preserve">smooth </w:t>
      </w:r>
      <w:r>
        <w:t>package [31] for R and is denoted in our experiment as “ADAM-</w:t>
      </w:r>
      <w:proofErr w:type="spellStart"/>
      <w:r>
        <w:t>iETSX</w:t>
      </w:r>
      <w:proofErr w:type="spellEnd"/>
      <w:r>
        <w:t>”.</w:t>
      </w:r>
    </w:p>
    <w:p w14:paraId="6E45387F" w14:textId="77777777" w:rsidR="009034C6" w:rsidRDefault="00784AE8">
      <w:pPr>
        <w:pStyle w:val="Heading2"/>
        <w:ind w:left="441" w:hanging="428"/>
      </w:pPr>
      <w:r>
        <w:t>GAMLSS</w:t>
      </w:r>
    </w:p>
    <w:p w14:paraId="70955DCA" w14:textId="77777777" w:rsidR="009034C6" w:rsidRDefault="00784AE8">
      <w:pPr>
        <w:ind w:left="13" w:right="0"/>
      </w:pPr>
      <w:r>
        <w:t>Suppose we assume that our predictive distribution follows a given parametric distribution, as in Poisson regression discussed above. In that case, the forecasting task becomes one of predicting the future values of that distribution’s parameters. We then can use Generalised Additive Models for Location, Scale and Shape (GAMLSS). These are the distributional regression models where the parameters are modelled as additive functions of explanatory variables. This provides a powerful and flexible framework for probabilistic forecasting, provided that suitable distribution and additive model structures can be found. In practice, this means employing expert judgement and experimenting with various distributions and evaluating their suitability using available training data.</w:t>
      </w:r>
    </w:p>
    <w:p w14:paraId="2D3BFFC0" w14:textId="77777777" w:rsidR="009034C6" w:rsidRDefault="00784AE8">
      <w:pPr>
        <w:spacing w:after="71" w:line="226" w:lineRule="auto"/>
        <w:ind w:left="13" w:right="0" w:firstLine="296"/>
        <w:jc w:val="left"/>
      </w:pPr>
      <w:r>
        <w:t xml:space="preserve">Let </w:t>
      </w:r>
      <w:r>
        <w:rPr>
          <w:i/>
          <w:sz w:val="31"/>
          <w:vertAlign w:val="subscript"/>
        </w:rPr>
        <w:t>F</w:t>
      </w:r>
      <w:r>
        <w:rPr>
          <w:i/>
          <w:vertAlign w:val="subscript"/>
        </w:rPr>
        <w:t>t</w:t>
      </w:r>
      <w:r>
        <w:t>(</w:t>
      </w:r>
      <w:proofErr w:type="spellStart"/>
      <w:r>
        <w:rPr>
          <w:i/>
          <w:sz w:val="31"/>
          <w:vertAlign w:val="subscript"/>
        </w:rPr>
        <w:t>y</w:t>
      </w:r>
      <w:r>
        <w:rPr>
          <w:i/>
          <w:vertAlign w:val="subscript"/>
        </w:rPr>
        <w:t>t</w:t>
      </w:r>
      <w:proofErr w:type="spellEnd"/>
      <w:r>
        <w:t xml:space="preserve">) be a predictive cumulative probability distribution of </w:t>
      </w:r>
      <w:proofErr w:type="spellStart"/>
      <w:r>
        <w:rPr>
          <w:i/>
          <w:sz w:val="31"/>
          <w:vertAlign w:val="subscript"/>
        </w:rPr>
        <w:t>y</w:t>
      </w:r>
      <w:r>
        <w:rPr>
          <w:i/>
          <w:vertAlign w:val="subscript"/>
        </w:rPr>
        <w:t>t</w:t>
      </w:r>
      <w:proofErr w:type="spellEnd"/>
      <w:r>
        <w:t xml:space="preserve">. In a distributional regression context, </w:t>
      </w:r>
      <w:r>
        <w:rPr>
          <w:i/>
          <w:sz w:val="31"/>
          <w:vertAlign w:val="subscript"/>
        </w:rPr>
        <w:t>F</w:t>
      </w:r>
      <w:r>
        <w:rPr>
          <w:i/>
          <w:vertAlign w:val="subscript"/>
        </w:rPr>
        <w:t>t</w:t>
      </w:r>
      <w:r>
        <w:t>(</w:t>
      </w:r>
      <w:proofErr w:type="spellStart"/>
      <w:r>
        <w:rPr>
          <w:i/>
          <w:sz w:val="31"/>
          <w:vertAlign w:val="subscript"/>
        </w:rPr>
        <w:t>y</w:t>
      </w:r>
      <w:r>
        <w:rPr>
          <w:i/>
          <w:vertAlign w:val="subscript"/>
        </w:rPr>
        <w:t>t</w:t>
      </w:r>
      <w:proofErr w:type="spellEnd"/>
      <w:r>
        <w:t xml:space="preserve">) is modelled via a parametric model, </w:t>
      </w:r>
      <w:r>
        <w:rPr>
          <w:i/>
          <w:sz w:val="31"/>
          <w:vertAlign w:val="subscript"/>
        </w:rPr>
        <w:t>F</w:t>
      </w:r>
      <w:r>
        <w:t>(</w:t>
      </w:r>
      <w:proofErr w:type="spellStart"/>
      <w:r>
        <w:rPr>
          <w:i/>
          <w:sz w:val="31"/>
          <w:vertAlign w:val="subscript"/>
        </w:rPr>
        <w:t>y</w:t>
      </w:r>
      <w:r>
        <w:rPr>
          <w:i/>
          <w:vertAlign w:val="subscript"/>
        </w:rPr>
        <w:t>t</w:t>
      </w:r>
      <w:r>
        <w:rPr>
          <w:i/>
        </w:rPr>
        <w:t>|</w:t>
      </w:r>
      <w:r>
        <w:rPr>
          <w:b/>
          <w:i/>
          <w:sz w:val="31"/>
          <w:vertAlign w:val="subscript"/>
        </w:rPr>
        <w:t>θ</w:t>
      </w:r>
      <w:r>
        <w:rPr>
          <w:i/>
          <w:vertAlign w:val="subscript"/>
        </w:rPr>
        <w:t>t</w:t>
      </w:r>
      <w:proofErr w:type="spellEnd"/>
      <w:r>
        <w:t xml:space="preserve">), where </w:t>
      </w:r>
      <w:proofErr w:type="spellStart"/>
      <w:r>
        <w:rPr>
          <w:b/>
          <w:i/>
          <w:sz w:val="31"/>
          <w:vertAlign w:val="subscript"/>
        </w:rPr>
        <w:t>θ</w:t>
      </w:r>
      <w:r>
        <w:rPr>
          <w:i/>
          <w:vertAlign w:val="subscript"/>
        </w:rPr>
        <w:t>t</w:t>
      </w:r>
      <w:proofErr w:type="spellEnd"/>
      <w:r>
        <w:rPr>
          <w:i/>
          <w:vertAlign w:val="subscript"/>
        </w:rPr>
        <w:t xml:space="preserve"> </w:t>
      </w:r>
      <w:r>
        <w:t xml:space="preserve">is an </w:t>
      </w:r>
      <w:r>
        <w:rPr>
          <w:i/>
          <w:sz w:val="31"/>
          <w:vertAlign w:val="subscript"/>
        </w:rPr>
        <w:t>m</w:t>
      </w:r>
      <w:r>
        <w:t xml:space="preserve">-dimensional vector of parameters. In a GAMLSS framework of Rigby and Stasinopoulos [27] the elements </w:t>
      </w:r>
      <w:r>
        <w:rPr>
          <w:i/>
          <w:sz w:val="31"/>
          <w:vertAlign w:val="subscript"/>
        </w:rPr>
        <w:t xml:space="preserve">j </w:t>
      </w:r>
      <w:r>
        <w:t>= 1</w:t>
      </w:r>
      <w:r>
        <w:rPr>
          <w:i/>
          <w:sz w:val="31"/>
          <w:vertAlign w:val="subscript"/>
        </w:rPr>
        <w:t xml:space="preserve">,...,m </w:t>
      </w:r>
      <w:r>
        <w:t xml:space="preserve">of </w:t>
      </w:r>
      <w:proofErr w:type="spellStart"/>
      <w:r>
        <w:rPr>
          <w:b/>
          <w:i/>
          <w:sz w:val="31"/>
          <w:vertAlign w:val="subscript"/>
        </w:rPr>
        <w:t>θ</w:t>
      </w:r>
      <w:r>
        <w:rPr>
          <w:i/>
          <w:vertAlign w:val="subscript"/>
        </w:rPr>
        <w:t>t</w:t>
      </w:r>
      <w:proofErr w:type="spellEnd"/>
      <w:r>
        <w:rPr>
          <w:i/>
          <w:vertAlign w:val="subscript"/>
        </w:rPr>
        <w:t xml:space="preserve"> </w:t>
      </w:r>
      <w:r>
        <w:t>are modelled as</w:t>
      </w:r>
    </w:p>
    <w:p w14:paraId="71CF3BD8" w14:textId="40DE642F" w:rsidR="009034C6" w:rsidRDefault="00784AE8">
      <w:pPr>
        <w:tabs>
          <w:tab w:val="center" w:pos="3579"/>
          <w:tab w:val="center" w:pos="5999"/>
          <w:tab w:val="right" w:pos="8905"/>
        </w:tabs>
        <w:spacing w:after="0" w:line="265" w:lineRule="auto"/>
        <w:ind w:left="0" w:right="0" w:firstLine="0"/>
        <w:jc w:val="left"/>
      </w:pPr>
      <w:r>
        <w:rPr>
          <w:sz w:val="22"/>
        </w:rPr>
        <w:tab/>
      </w:r>
      <w:proofErr w:type="spellStart"/>
      <w:r>
        <w:rPr>
          <w:i/>
        </w:rPr>
        <w:t>g</w:t>
      </w:r>
      <w:r>
        <w:rPr>
          <w:i/>
          <w:sz w:val="14"/>
        </w:rPr>
        <w:t>j</w:t>
      </w:r>
      <w:proofErr w:type="spellEnd"/>
      <w:r>
        <w:t>(</w:t>
      </w:r>
      <w:proofErr w:type="spellStart"/>
      <w:r>
        <w:rPr>
          <w:i/>
        </w:rPr>
        <w:t>θ</w:t>
      </w:r>
      <w:r>
        <w:rPr>
          <w:i/>
          <w:sz w:val="14"/>
        </w:rPr>
        <w:t>j,t</w:t>
      </w:r>
      <w:proofErr w:type="spellEnd"/>
      <w:r>
        <w:t xml:space="preserve">) = </w:t>
      </w:r>
      <w:proofErr w:type="spellStart"/>
      <w:r>
        <w:rPr>
          <w:b/>
        </w:rPr>
        <w:t>A</w:t>
      </w:r>
      <w:r>
        <w:rPr>
          <w:i/>
          <w:sz w:val="14"/>
        </w:rPr>
        <w:t>j,t</w:t>
      </w:r>
      <w:proofErr w:type="spellEnd"/>
      <w:r>
        <w:rPr>
          <w:b/>
          <w:i/>
        </w:rPr>
        <w:t>β</w:t>
      </w:r>
      <w:r>
        <w:rPr>
          <w:i/>
          <w:sz w:val="14"/>
        </w:rPr>
        <w:t xml:space="preserve">j </w:t>
      </w:r>
      <w:r>
        <w:t xml:space="preserve">+ </w:t>
      </w:r>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f</m:t>
            </m:r>
            <m:r>
              <w:rPr>
                <w:rFonts w:ascii="Cambria Math" w:hAnsi="Cambria Math"/>
                <w:sz w:val="14"/>
              </w:rPr>
              <m:t>j,i</m:t>
            </m:r>
            <m:r>
              <m:rPr>
                <m:sty m:val="p"/>
              </m:rPr>
              <w:rPr>
                <w:rFonts w:ascii="Cambria Math" w:hAnsi="Cambria Math"/>
              </w:rPr>
              <m:t>(</m:t>
            </m:r>
            <m:r>
              <m:rPr>
                <m:sty m:val="bi"/>
              </m:rPr>
              <w:rPr>
                <w:rFonts w:ascii="Cambria Math" w:hAnsi="Cambria Math"/>
              </w:rPr>
              <m:t>x</m:t>
            </m:r>
            <m:r>
              <w:rPr>
                <w:rFonts w:ascii="Cambria Math" w:hAnsi="Cambria Math"/>
                <w:sz w:val="14"/>
              </w:rPr>
              <m:t xml:space="preserve">tS </m:t>
            </m:r>
            <m:r>
              <w:rPr>
                <w:rFonts w:ascii="Cambria Math" w:hAnsi="Cambria Math"/>
                <w:sz w:val="10"/>
              </w:rPr>
              <m:t>j,i</m:t>
            </m:r>
            <m:r>
              <m:rPr>
                <m:sty m:val="p"/>
              </m:rPr>
              <w:rPr>
                <w:rFonts w:ascii="Cambria Math" w:hAnsi="Cambria Math"/>
              </w:rPr>
              <m:t>)</m:t>
            </m:r>
            <m:r>
              <w:rPr>
                <w:rFonts w:ascii="Cambria Math" w:hAnsi="Cambria Math"/>
              </w:rPr>
              <m:t>,</m:t>
            </m:r>
          </m:e>
        </m:nary>
      </m:oMath>
      <w:r>
        <w:rPr>
          <w:i/>
        </w:rPr>
        <w:tab/>
      </w:r>
      <w:r>
        <w:t xml:space="preserve">for </w:t>
      </w:r>
      <w:r>
        <w:rPr>
          <w:i/>
        </w:rPr>
        <w:t xml:space="preserve">j </w:t>
      </w:r>
      <w:r>
        <w:t>= 1</w:t>
      </w:r>
      <w:r>
        <w:rPr>
          <w:i/>
        </w:rPr>
        <w:t>,...,m,</w:t>
      </w:r>
      <w:r>
        <w:rPr>
          <w:i/>
        </w:rPr>
        <w:tab/>
      </w:r>
      <w:r>
        <w:t>(4)</w:t>
      </w:r>
    </w:p>
    <w:p w14:paraId="12A11647" w14:textId="77777777" w:rsidR="009034C6" w:rsidRDefault="00784AE8">
      <w:pPr>
        <w:spacing w:after="62"/>
        <w:ind w:left="20" w:right="0" w:hanging="7"/>
      </w:pPr>
      <w:r>
        <w:t xml:space="preserve">where </w:t>
      </w:r>
      <w:proofErr w:type="spellStart"/>
      <w:r>
        <w:rPr>
          <w:i/>
          <w:sz w:val="31"/>
          <w:vertAlign w:val="subscript"/>
        </w:rPr>
        <w:t>g</w:t>
      </w:r>
      <w:r>
        <w:rPr>
          <w:i/>
          <w:vertAlign w:val="subscript"/>
        </w:rPr>
        <w:t>j</w:t>
      </w:r>
      <w:proofErr w:type="spellEnd"/>
      <w:r>
        <w:rPr>
          <w:i/>
          <w:vertAlign w:val="subscript"/>
        </w:rPr>
        <w:t xml:space="preserve"> </w:t>
      </w:r>
      <w:r>
        <w:t xml:space="preserve">is a monotonic link function, </w:t>
      </w:r>
      <w:proofErr w:type="spellStart"/>
      <w:r>
        <w:rPr>
          <w:b/>
          <w:sz w:val="31"/>
          <w:vertAlign w:val="subscript"/>
        </w:rPr>
        <w:t>A</w:t>
      </w:r>
      <w:r>
        <w:rPr>
          <w:i/>
          <w:vertAlign w:val="subscript"/>
        </w:rPr>
        <w:t>j,t</w:t>
      </w:r>
      <w:proofErr w:type="spellEnd"/>
      <w:r>
        <w:rPr>
          <w:i/>
          <w:vertAlign w:val="subscript"/>
        </w:rPr>
        <w:t xml:space="preserve"> </w:t>
      </w:r>
      <w:r>
        <w:t xml:space="preserve">is the </w:t>
      </w:r>
      <w:r>
        <w:rPr>
          <w:i/>
          <w:sz w:val="31"/>
          <w:vertAlign w:val="subscript"/>
        </w:rPr>
        <w:t>t</w:t>
      </w:r>
      <w:r>
        <w:t>-</w:t>
      </w:r>
      <w:proofErr w:type="spellStart"/>
      <w:r>
        <w:t>th</w:t>
      </w:r>
      <w:proofErr w:type="spellEnd"/>
      <w:r>
        <w:t xml:space="preserve"> row of the design matrix </w:t>
      </w:r>
      <w:proofErr w:type="spellStart"/>
      <w:r>
        <w:rPr>
          <w:b/>
          <w:sz w:val="31"/>
          <w:vertAlign w:val="subscript"/>
        </w:rPr>
        <w:t>A</w:t>
      </w:r>
      <w:r>
        <w:rPr>
          <w:i/>
          <w:vertAlign w:val="subscript"/>
        </w:rPr>
        <w:t>j</w:t>
      </w:r>
      <w:proofErr w:type="spellEnd"/>
      <w:r>
        <w:t xml:space="preserve">, </w:t>
      </w:r>
      <w:r>
        <w:rPr>
          <w:b/>
          <w:i/>
          <w:sz w:val="31"/>
          <w:vertAlign w:val="subscript"/>
        </w:rPr>
        <w:t>β</w:t>
      </w:r>
      <w:r>
        <w:rPr>
          <w:i/>
          <w:vertAlign w:val="subscript"/>
        </w:rPr>
        <w:t xml:space="preserve">j </w:t>
      </w:r>
      <w:r>
        <w:t xml:space="preserve">is a vector of regression coefficients, </w:t>
      </w:r>
      <w:proofErr w:type="spellStart"/>
      <w:r>
        <w:rPr>
          <w:b/>
          <w:i/>
          <w:sz w:val="31"/>
          <w:vertAlign w:val="subscript"/>
        </w:rPr>
        <w:t>x</w:t>
      </w:r>
      <w:r>
        <w:rPr>
          <w:i/>
          <w:vertAlign w:val="subscript"/>
        </w:rPr>
        <w:t>t</w:t>
      </w:r>
      <w:proofErr w:type="spellEnd"/>
      <w:r>
        <w:rPr>
          <w:i/>
          <w:vertAlign w:val="subscript"/>
        </w:rPr>
        <w:t xml:space="preserve"> </w:t>
      </w:r>
      <w:r>
        <w:t xml:space="preserve">is a </w:t>
      </w:r>
      <w:r>
        <w:rPr>
          <w:i/>
          <w:sz w:val="31"/>
          <w:vertAlign w:val="subscript"/>
        </w:rPr>
        <w:t>d</w:t>
      </w:r>
      <w:r>
        <w:t xml:space="preserve">-dimensional vector of covariates and </w:t>
      </w:r>
      <w:proofErr w:type="spellStart"/>
      <w:r>
        <w:rPr>
          <w:i/>
          <w:sz w:val="31"/>
          <w:vertAlign w:val="subscript"/>
        </w:rPr>
        <w:t>S</w:t>
      </w:r>
      <w:r>
        <w:rPr>
          <w:i/>
          <w:vertAlign w:val="subscript"/>
        </w:rPr>
        <w:t>j,i</w:t>
      </w:r>
      <w:proofErr w:type="spellEnd"/>
      <w:r>
        <w:rPr>
          <w:i/>
          <w:vertAlign w:val="subscript"/>
        </w:rPr>
        <w:t xml:space="preserve"> </w:t>
      </w:r>
      <w:r>
        <w:rPr>
          <w:i/>
        </w:rPr>
        <w:t>⊂ {</w:t>
      </w:r>
      <w:r>
        <w:t>1</w:t>
      </w:r>
      <w:r>
        <w:rPr>
          <w:i/>
          <w:sz w:val="31"/>
          <w:vertAlign w:val="subscript"/>
        </w:rPr>
        <w:t>,...,d</w:t>
      </w:r>
      <w:r>
        <w:rPr>
          <w:i/>
        </w:rPr>
        <w:t xml:space="preserve">} </w:t>
      </w:r>
      <w:r>
        <w:rPr>
          <w:b/>
          <w:sz w:val="31"/>
          <w:vertAlign w:val="subscript"/>
        </w:rPr>
        <w:t xml:space="preserve">is ... </w:t>
      </w:r>
      <w:r>
        <w:t xml:space="preserve">. If </w:t>
      </w:r>
      <w:proofErr w:type="spellStart"/>
      <w:r>
        <w:rPr>
          <w:i/>
        </w:rPr>
        <w:t>S</w:t>
      </w:r>
      <w:r>
        <w:rPr>
          <w:i/>
          <w:vertAlign w:val="subscript"/>
        </w:rPr>
        <w:t>j,i</w:t>
      </w:r>
      <w:proofErr w:type="spellEnd"/>
      <w:r>
        <w:rPr>
          <w:i/>
          <w:vertAlign w:val="subscript"/>
        </w:rPr>
        <w:t xml:space="preserve"> </w:t>
      </w:r>
      <w:r>
        <w:t xml:space="preserve">= </w:t>
      </w:r>
      <w:r>
        <w:rPr>
          <w:i/>
          <w:sz w:val="31"/>
          <w:vertAlign w:val="subscript"/>
        </w:rPr>
        <w:t>{</w:t>
      </w:r>
      <w:r>
        <w:t>1</w:t>
      </w:r>
      <w:r>
        <w:rPr>
          <w:i/>
          <w:sz w:val="31"/>
          <w:vertAlign w:val="subscript"/>
        </w:rPr>
        <w:t>,</w:t>
      </w:r>
      <w:r>
        <w:t>3</w:t>
      </w:r>
      <w:r>
        <w:rPr>
          <w:i/>
          <w:sz w:val="31"/>
          <w:vertAlign w:val="subscript"/>
        </w:rPr>
        <w:t>}</w:t>
      </w:r>
      <w:r>
        <w:t xml:space="preserve">, then following our notation </w:t>
      </w:r>
      <w:proofErr w:type="spellStart"/>
      <w:r>
        <w:rPr>
          <w:b/>
          <w:i/>
          <w:sz w:val="31"/>
          <w:vertAlign w:val="subscript"/>
        </w:rPr>
        <w:t>x</w:t>
      </w:r>
      <w:r>
        <w:rPr>
          <w:i/>
          <w:vertAlign w:val="superscript"/>
        </w:rPr>
        <w:t>S</w:t>
      </w:r>
      <w:r>
        <w:rPr>
          <w:i/>
          <w:vertAlign w:val="subscript"/>
        </w:rPr>
        <w:t>t</w:t>
      </w:r>
      <w:proofErr w:type="spellEnd"/>
      <w:r>
        <w:rPr>
          <w:i/>
          <w:vertAlign w:val="subscript"/>
        </w:rPr>
        <w:t xml:space="preserve"> </w:t>
      </w:r>
      <w:proofErr w:type="spellStart"/>
      <w:r>
        <w:rPr>
          <w:i/>
          <w:sz w:val="15"/>
          <w:vertAlign w:val="superscript"/>
        </w:rPr>
        <w:t>j,i</w:t>
      </w:r>
      <w:proofErr w:type="spellEnd"/>
      <w:r>
        <w:rPr>
          <w:i/>
          <w:sz w:val="15"/>
          <w:vertAlign w:val="superscript"/>
        </w:rPr>
        <w:t xml:space="preserve"> </w:t>
      </w:r>
      <w:r>
        <w:t xml:space="preserve">is a two dimensional vector formed by the first and third elements of </w:t>
      </w:r>
      <w:proofErr w:type="spellStart"/>
      <w:r>
        <w:rPr>
          <w:b/>
          <w:i/>
          <w:sz w:val="31"/>
          <w:vertAlign w:val="subscript"/>
        </w:rPr>
        <w:t>x</w:t>
      </w:r>
      <w:r>
        <w:rPr>
          <w:i/>
          <w:vertAlign w:val="subscript"/>
        </w:rPr>
        <w:t>t</w:t>
      </w:r>
      <w:r>
        <w:t>.</w:t>
      </w:r>
      <w:proofErr w:type="spellEnd"/>
      <w:r>
        <w:t xml:space="preserve"> Each </w:t>
      </w:r>
      <w:proofErr w:type="spellStart"/>
      <w:r>
        <w:rPr>
          <w:i/>
          <w:sz w:val="31"/>
          <w:vertAlign w:val="subscript"/>
        </w:rPr>
        <w:t>f</w:t>
      </w:r>
      <w:r>
        <w:rPr>
          <w:i/>
          <w:vertAlign w:val="subscript"/>
        </w:rPr>
        <w:t>j,i</w:t>
      </w:r>
      <w:proofErr w:type="spellEnd"/>
      <w:r>
        <w:rPr>
          <w:i/>
          <w:vertAlign w:val="subscript"/>
        </w:rPr>
        <w:t xml:space="preserve"> </w:t>
      </w:r>
      <w:r>
        <w:t>is a smooth function, constructed as</w:t>
      </w:r>
    </w:p>
    <w:p w14:paraId="6028B5C4" w14:textId="36726F22" w:rsidR="009034C6" w:rsidRDefault="00784AE8">
      <w:pPr>
        <w:tabs>
          <w:tab w:val="center" w:pos="4447"/>
          <w:tab w:val="right" w:pos="8905"/>
        </w:tabs>
        <w:spacing w:after="86" w:line="259" w:lineRule="auto"/>
        <w:ind w:left="0" w:right="0" w:firstLine="0"/>
        <w:jc w:val="left"/>
      </w:pPr>
      <w:r>
        <w:rPr>
          <w:sz w:val="22"/>
        </w:rPr>
        <w:tab/>
      </w:r>
      <w:proofErr w:type="spellStart"/>
      <w:r>
        <w:rPr>
          <w:i/>
        </w:rPr>
        <w:t>f</w:t>
      </w:r>
      <w:r>
        <w:rPr>
          <w:i/>
          <w:sz w:val="14"/>
        </w:rPr>
        <w:t>j,i</w:t>
      </w:r>
      <w:proofErr w:type="spellEnd"/>
      <w:r>
        <w:t>(</w:t>
      </w:r>
      <w:proofErr w:type="spellStart"/>
      <w:r>
        <w:rPr>
          <w:b/>
          <w:i/>
        </w:rPr>
        <w:t>x</w:t>
      </w:r>
      <w:r>
        <w:rPr>
          <w:i/>
          <w:sz w:val="14"/>
        </w:rPr>
        <w:t>S</w:t>
      </w:r>
      <w:r>
        <w:rPr>
          <w:i/>
          <w:sz w:val="10"/>
        </w:rPr>
        <w:t>j,i</w:t>
      </w:r>
      <w:proofErr w:type="spellEnd"/>
      <w:r>
        <w:t xml:space="preserve">) = </w:t>
      </w:r>
      <m:oMath>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j,i</m:t>
                </m:r>
              </m:sub>
            </m:sSub>
          </m:sup>
          <m:e>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ji</m:t>
                </m:r>
              </m:sup>
            </m:sSubSup>
            <m:r>
              <m:rPr>
                <m:sty m:val="p"/>
              </m:rPr>
              <w:rPr>
                <w:rFonts w:ascii="Cambria Math" w:hAnsi="Cambria Math"/>
              </w:rPr>
              <m:t>(</m:t>
            </m:r>
            <m:sSup>
              <m:sSupPr>
                <m:ctrlPr>
                  <w:rPr>
                    <w:rFonts w:ascii="Cambria Math" w:hAnsi="Cambria Math"/>
                    <w:b/>
                    <w:i/>
                  </w:rPr>
                </m:ctrlPr>
              </m:sSupPr>
              <m:e>
                <m:r>
                  <m:rPr>
                    <m:sty m:val="bi"/>
                  </m:rPr>
                  <w:rPr>
                    <w:rFonts w:ascii="Cambria Math" w:hAnsi="Cambria Math"/>
                  </w:rPr>
                  <m:t>x</m:t>
                </m:r>
              </m:e>
              <m:sup>
                <m:r>
                  <w:rPr>
                    <w:rFonts w:ascii="Cambria Math" w:hAnsi="Cambria Math"/>
                    <w:sz w:val="14"/>
                  </w:rPr>
                  <m:t>S</m:t>
                </m:r>
                <m:r>
                  <w:rPr>
                    <w:rFonts w:ascii="Cambria Math" w:hAnsi="Cambria Math"/>
                    <w:sz w:val="10"/>
                  </w:rPr>
                  <m:t>j,i</m:t>
                </m:r>
              </m:sup>
            </m:sSup>
            <m:r>
              <m:rPr>
                <m:sty m:val="p"/>
              </m:rP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k</m:t>
                </m:r>
              </m:sub>
              <m:sup>
                <m:r>
                  <w:rPr>
                    <w:rFonts w:ascii="Cambria Math" w:hAnsi="Cambria Math"/>
                  </w:rPr>
                  <m:t>ji</m:t>
                </m:r>
              </m:sup>
            </m:sSubSup>
            <m:r>
              <w:rPr>
                <w:rFonts w:ascii="Cambria Math" w:hAnsi="Cambria Math"/>
              </w:rPr>
              <m:t>,</m:t>
            </m:r>
          </m:e>
        </m:nary>
      </m:oMath>
      <w:r>
        <w:rPr>
          <w:i/>
        </w:rPr>
        <w:tab/>
      </w:r>
      <w:r>
        <w:t>(5)</w:t>
      </w:r>
    </w:p>
    <w:p w14:paraId="5652AB17" w14:textId="77777777" w:rsidR="009034C6" w:rsidRDefault="00784AE8">
      <w:pPr>
        <w:ind w:left="20" w:right="0" w:hanging="7"/>
      </w:pPr>
      <w:r>
        <w:t xml:space="preserve">where </w:t>
      </w:r>
      <w:proofErr w:type="spellStart"/>
      <w:r>
        <w:rPr>
          <w:i/>
          <w:sz w:val="31"/>
          <w:vertAlign w:val="subscript"/>
        </w:rPr>
        <w:t>b</w:t>
      </w:r>
      <w:r>
        <w:rPr>
          <w:i/>
          <w:vertAlign w:val="superscript"/>
        </w:rPr>
        <w:t>ji</w:t>
      </w:r>
      <w:r>
        <w:rPr>
          <w:i/>
          <w:vertAlign w:val="subscript"/>
        </w:rPr>
        <w:t>k</w:t>
      </w:r>
      <w:proofErr w:type="spellEnd"/>
      <w:r>
        <w:rPr>
          <w:i/>
          <w:vertAlign w:val="subscript"/>
        </w:rPr>
        <w:t xml:space="preserve"> </w:t>
      </w:r>
      <w:r>
        <w:t xml:space="preserve">are spline basis functions of dimension </w:t>
      </w:r>
      <w:r>
        <w:rPr>
          <w:i/>
          <w:sz w:val="31"/>
          <w:vertAlign w:val="subscript"/>
        </w:rPr>
        <w:t>|</w:t>
      </w:r>
      <w:proofErr w:type="spellStart"/>
      <w:r>
        <w:rPr>
          <w:i/>
          <w:sz w:val="31"/>
          <w:vertAlign w:val="subscript"/>
        </w:rPr>
        <w:t>S</w:t>
      </w:r>
      <w:r>
        <w:rPr>
          <w:i/>
          <w:vertAlign w:val="subscript"/>
        </w:rPr>
        <w:t>j,i</w:t>
      </w:r>
      <w:proofErr w:type="spellEnd"/>
      <w:r>
        <w:rPr>
          <w:i/>
          <w:sz w:val="31"/>
          <w:vertAlign w:val="subscript"/>
        </w:rPr>
        <w:t>|</w:t>
      </w:r>
      <w:r>
        <w:t xml:space="preserve">, while </w:t>
      </w:r>
      <w:r>
        <w:rPr>
          <w:i/>
          <w:sz w:val="31"/>
          <w:vertAlign w:val="subscript"/>
        </w:rPr>
        <w:t>β</w:t>
      </w:r>
      <w:proofErr w:type="spellStart"/>
      <w:r>
        <w:rPr>
          <w:i/>
          <w:vertAlign w:val="subscript"/>
        </w:rPr>
        <w:t>k</w:t>
      </w:r>
      <w:r>
        <w:rPr>
          <w:i/>
          <w:vertAlign w:val="superscript"/>
        </w:rPr>
        <w:t>ji</w:t>
      </w:r>
      <w:proofErr w:type="spellEnd"/>
      <w:r>
        <w:rPr>
          <w:i/>
          <w:vertAlign w:val="superscript"/>
        </w:rPr>
        <w:t xml:space="preserve"> </w:t>
      </w:r>
      <w:r>
        <w:t xml:space="preserve">are regression coefficients. The smoothness of each </w:t>
      </w:r>
      <w:proofErr w:type="spellStart"/>
      <w:r>
        <w:rPr>
          <w:i/>
          <w:sz w:val="31"/>
          <w:vertAlign w:val="subscript"/>
        </w:rPr>
        <w:t>f</w:t>
      </w:r>
      <w:r>
        <w:rPr>
          <w:i/>
          <w:vertAlign w:val="subscript"/>
        </w:rPr>
        <w:t>j,i</w:t>
      </w:r>
      <w:proofErr w:type="spellEnd"/>
      <w:r>
        <w:rPr>
          <w:i/>
          <w:vertAlign w:val="subscript"/>
        </w:rPr>
        <w:t xml:space="preserve"> </w:t>
      </w:r>
      <w:r>
        <w:t xml:space="preserve">is controlled via ridge penalties, the definition of smoothness being dependent on the type of effect and penalty being used. See Wood [39] for a detailed introduction to </w:t>
      </w:r>
      <w:r>
        <w:rPr>
          <w:i/>
          <w:sz w:val="31"/>
          <w:vertAlign w:val="subscript"/>
        </w:rPr>
        <w:t xml:space="preserve">GAM/GAMLSS </w:t>
      </w:r>
      <w:r>
        <w:t>models, smoothing splines bases and penalties.</w:t>
      </w:r>
    </w:p>
    <w:p w14:paraId="3C7A71B7" w14:textId="77777777" w:rsidR="009034C6" w:rsidRDefault="00784AE8">
      <w:pPr>
        <w:ind w:left="13" w:right="0"/>
      </w:pPr>
      <w:r>
        <w:t xml:space="preserve">As our data are counts, the natural starting point is the Poisson distribution with an additive model for </w:t>
      </w:r>
      <w:proofErr w:type="spellStart"/>
      <w:r>
        <w:t>log</w:t>
      </w:r>
      <w:r>
        <w:rPr>
          <w:i/>
          <w:sz w:val="31"/>
          <w:vertAlign w:val="subscript"/>
        </w:rPr>
        <w:t>λ</w:t>
      </w:r>
      <w:r>
        <w:rPr>
          <w:i/>
          <w:vertAlign w:val="subscript"/>
        </w:rPr>
        <w:t>t</w:t>
      </w:r>
      <w:proofErr w:type="spellEnd"/>
      <w:r>
        <w:rPr>
          <w:i/>
          <w:vertAlign w:val="subscript"/>
        </w:rPr>
        <w:t xml:space="preserve"> </w:t>
      </w:r>
      <w:r>
        <w:t>of the form</w:t>
      </w:r>
    </w:p>
    <w:p w14:paraId="40694396" w14:textId="310A2BD1" w:rsidR="009034C6" w:rsidRDefault="00784AE8">
      <w:pPr>
        <w:tabs>
          <w:tab w:val="center" w:pos="1908"/>
          <w:tab w:val="center" w:pos="3674"/>
        </w:tabs>
        <w:spacing w:after="125" w:line="259" w:lineRule="auto"/>
        <w:ind w:left="0" w:right="0" w:firstLine="0"/>
        <w:jc w:val="left"/>
      </w:pPr>
      <w:r>
        <w:rPr>
          <w:sz w:val="22"/>
        </w:rPr>
        <w:tab/>
      </w:r>
    </w:p>
    <w:p w14:paraId="21529D9F" w14:textId="044ADE18" w:rsidR="009034C6" w:rsidRDefault="00784AE8">
      <w:pPr>
        <w:tabs>
          <w:tab w:val="center" w:pos="4320"/>
          <w:tab w:val="center" w:pos="7966"/>
          <w:tab w:val="right" w:pos="8905"/>
        </w:tabs>
        <w:spacing w:after="0" w:line="265" w:lineRule="auto"/>
        <w:ind w:left="0" w:right="0" w:firstLine="0"/>
        <w:jc w:val="left"/>
      </w:pPr>
      <w:r>
        <w:rPr>
          <w:sz w:val="22"/>
        </w:rPr>
        <w:tab/>
      </w:r>
      <w:r>
        <w:t>log(</w:t>
      </w:r>
      <w:proofErr w:type="spellStart"/>
      <w:r>
        <w:rPr>
          <w:i/>
        </w:rPr>
        <w:t>λ</w:t>
      </w:r>
      <w:r>
        <w:rPr>
          <w:i/>
          <w:vertAlign w:val="subscript"/>
        </w:rPr>
        <w:t>t</w:t>
      </w:r>
      <w:proofErr w:type="spellEnd"/>
      <w:r>
        <w: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7</m:t>
            </m:r>
          </m:sup>
          <m:e>
            <m:r>
              <w:rPr>
                <w:rFonts w:ascii="Cambria Math" w:hAnsi="Cambria Math"/>
              </w:rPr>
              <m:t>β</m:t>
            </m:r>
            <m:r>
              <w:rPr>
                <w:rFonts w:ascii="Cambria Math" w:hAnsi="Cambria Math"/>
                <w:vertAlign w:val="subscript"/>
              </w:rPr>
              <m:t>i</m:t>
            </m:r>
            <m:r>
              <w:rPr>
                <w:rFonts w:ascii="Cambria Math" w:hAnsi="Cambria Math"/>
              </w:rPr>
              <m:t>δ</m:t>
            </m:r>
            <m:r>
              <m:rPr>
                <m:sty m:val="p"/>
              </m:rPr>
              <w:rPr>
                <w:rFonts w:ascii="Cambria Math" w:hAnsi="Cambria Math"/>
              </w:rPr>
              <m:t>(</m:t>
            </m:r>
            <m:r>
              <w:rPr>
                <w:rFonts w:ascii="Cambria Math" w:hAnsi="Cambria Math"/>
              </w:rPr>
              <m:t>D</m:t>
            </m:r>
            <m:r>
              <w:rPr>
                <w:rFonts w:ascii="Cambria Math" w:hAnsi="Cambria Math"/>
                <w:vertAlign w:val="subscript"/>
              </w:rPr>
              <m:t>i</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 i</m:t>
            </m:r>
            <m:r>
              <m:rPr>
                <m:sty m:val="p"/>
              </m:rPr>
              <w:rPr>
                <w:rFonts w:ascii="Cambria Math" w:hAnsi="Cambria Math"/>
              </w:rPr>
              <m:t xml:space="preserve">) </m:t>
            </m:r>
          </m:e>
        </m:nary>
      </m:oMath>
      <w: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7</m:t>
            </m:r>
          </m:sup>
          <m:e>
            <m:r>
              <w:rPr>
                <w:rFonts w:ascii="Cambria Math" w:hAnsi="Cambria Math"/>
              </w:rPr>
              <m:t>D</m:t>
            </m:r>
            <m:r>
              <w:rPr>
                <w:rFonts w:ascii="Cambria Math" w:hAnsi="Cambria Math"/>
                <w:vertAlign w:val="subscript"/>
              </w:rPr>
              <m:t>j</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f</m:t>
            </m:r>
            <m:r>
              <w:rPr>
                <w:rFonts w:ascii="Cambria Math" w:hAnsi="Cambria Math"/>
                <w:vertAlign w:val="subscript"/>
              </w:rPr>
              <m:t>j</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 xml:space="preserve">)) </m:t>
            </m:r>
          </m:e>
        </m:nary>
      </m:oMath>
      <w:r>
        <w:t xml:space="preserve"> + </w:t>
      </w:r>
      <w:proofErr w:type="spellStart"/>
      <w:r>
        <w:rPr>
          <w:i/>
        </w:rPr>
        <w:t>tf</w:t>
      </w:r>
      <w:r>
        <w:rPr>
          <w:vertAlign w:val="subscript"/>
        </w:rPr>
        <w:t>Y</w:t>
      </w:r>
      <w:proofErr w:type="spellEnd"/>
      <w:r>
        <w:t>(</w:t>
      </w:r>
      <w:r>
        <w:rPr>
          <w:i/>
        </w:rPr>
        <w:t xml:space="preserve">Y </w:t>
      </w:r>
      <w:r>
        <w:t>(</w:t>
      </w:r>
      <w:r>
        <w:rPr>
          <w:i/>
        </w:rPr>
        <w:t>t</w:t>
      </w:r>
      <w:r>
        <w:t xml:space="preserve">)) + </w:t>
      </w:r>
      <w:proofErr w:type="spellStart"/>
      <w:r>
        <w:rPr>
          <w:i/>
        </w:rPr>
        <w:t>f</w:t>
      </w:r>
      <w:r>
        <w:rPr>
          <w:vertAlign w:val="subscript"/>
        </w:rPr>
        <w:t>Temp</w:t>
      </w:r>
      <w:proofErr w:type="spellEnd"/>
      <w:r>
        <w:t>(</w:t>
      </w:r>
      <w:r>
        <w:rPr>
          <w:i/>
        </w:rPr>
        <w:t xml:space="preserve">Y </w:t>
      </w:r>
      <w:r>
        <w:t>(</w:t>
      </w:r>
      <w:r>
        <w:rPr>
          <w:i/>
        </w:rPr>
        <w:t>t</w:t>
      </w:r>
      <w:r>
        <w:t>)</w:t>
      </w:r>
      <w:r>
        <w:rPr>
          <w:i/>
        </w:rPr>
        <w:t>,C</w:t>
      </w:r>
      <w:r>
        <w:rPr>
          <w:i/>
          <w:vertAlign w:val="subscript"/>
        </w:rPr>
        <w:t>t</w:t>
      </w:r>
      <w:r>
        <w:t>)</w:t>
      </w:r>
      <w:r w:rsidR="00210A5E">
        <w:rPr>
          <w:i/>
        </w:rPr>
        <w:t>,</w:t>
      </w:r>
      <w:r>
        <w:rPr>
          <w:i/>
        </w:rPr>
        <w:tab/>
      </w:r>
      <w:r>
        <w:t>(6)</w:t>
      </w:r>
    </w:p>
    <w:p w14:paraId="7975A537" w14:textId="6E3FB449" w:rsidR="009034C6" w:rsidRDefault="00784AE8" w:rsidP="00F65663">
      <w:pPr>
        <w:tabs>
          <w:tab w:val="center" w:pos="1908"/>
          <w:tab w:val="center" w:pos="3674"/>
        </w:tabs>
        <w:spacing w:after="246" w:line="259" w:lineRule="auto"/>
        <w:ind w:left="0" w:right="0" w:firstLine="0"/>
        <w:jc w:val="left"/>
      </w:pPr>
      <w:r>
        <w:rPr>
          <w:sz w:val="22"/>
        </w:rPr>
        <w:lastRenderedPageBreak/>
        <w:tab/>
      </w:r>
      <w:r>
        <w:rPr>
          <w:sz w:val="14"/>
        </w:rPr>
        <w:tab/>
      </w:r>
    </w:p>
    <w:p w14:paraId="3150219F" w14:textId="77777777" w:rsidR="009034C6" w:rsidRDefault="00784AE8">
      <w:pPr>
        <w:ind w:left="13" w:right="0"/>
      </w:pPr>
      <w:r>
        <w:t xml:space="preserve">The functions </w:t>
      </w:r>
      <w:r>
        <w:rPr>
          <w:i/>
          <w:sz w:val="31"/>
          <w:vertAlign w:val="subscript"/>
        </w:rPr>
        <w:t>H</w:t>
      </w:r>
      <w:r>
        <w:t>(</w:t>
      </w:r>
      <w:r>
        <w:rPr>
          <w:i/>
          <w:sz w:val="31"/>
          <w:vertAlign w:val="subscript"/>
        </w:rPr>
        <w:t>t</w:t>
      </w:r>
      <w:r>
        <w:t xml:space="preserve">), </w:t>
      </w:r>
      <w:r>
        <w:rPr>
          <w:i/>
          <w:sz w:val="31"/>
          <w:vertAlign w:val="subscript"/>
        </w:rPr>
        <w:t>D</w:t>
      </w:r>
      <w:r>
        <w:t>(</w:t>
      </w:r>
      <w:r>
        <w:rPr>
          <w:i/>
          <w:sz w:val="31"/>
          <w:vertAlign w:val="subscript"/>
        </w:rPr>
        <w:t>t</w:t>
      </w:r>
      <w:r>
        <w:t xml:space="preserve">) and </w:t>
      </w:r>
      <w:r>
        <w:rPr>
          <w:i/>
          <w:sz w:val="31"/>
          <w:vertAlign w:val="subscript"/>
        </w:rPr>
        <w:t xml:space="preserve">Y </w:t>
      </w:r>
      <w:r>
        <w:t>(</w:t>
      </w:r>
      <w:r>
        <w:rPr>
          <w:i/>
          <w:sz w:val="31"/>
          <w:vertAlign w:val="subscript"/>
        </w:rPr>
        <w:t>t</w:t>
      </w:r>
      <w:r>
        <w:t xml:space="preserve">) return the hour of the day (1–24), day of the week (1–7), and day of the year (1-366) at time </w:t>
      </w:r>
      <w:r>
        <w:rPr>
          <w:i/>
          <w:sz w:val="31"/>
          <w:vertAlign w:val="subscript"/>
        </w:rPr>
        <w:t>t</w:t>
      </w:r>
      <w:r>
        <w:t xml:space="preserve">, respectively, and </w:t>
      </w:r>
      <w:r>
        <w:rPr>
          <w:i/>
          <w:sz w:val="31"/>
          <w:vertAlign w:val="subscript"/>
        </w:rPr>
        <w:t>C</w:t>
      </w:r>
      <w:r>
        <w:rPr>
          <w:i/>
          <w:vertAlign w:val="subscript"/>
        </w:rPr>
        <w:t xml:space="preserve">t </w:t>
      </w:r>
      <w:r>
        <w:t xml:space="preserve">is the temperature at time </w:t>
      </w:r>
      <w:r>
        <w:rPr>
          <w:i/>
          <w:sz w:val="31"/>
          <w:vertAlign w:val="subscript"/>
        </w:rPr>
        <w:t>t</w:t>
      </w:r>
      <w:r>
        <w:t>. This model is called Poisson-1 in discussions below.</w:t>
      </w:r>
    </w:p>
    <w:p w14:paraId="10EFFE9A" w14:textId="57E9F6D6" w:rsidR="009034C6" w:rsidRDefault="00784AE8" w:rsidP="00387CEF">
      <w:pPr>
        <w:spacing w:after="384"/>
        <w:ind w:left="0" w:right="0" w:firstLine="313"/>
      </w:pPr>
      <w:r>
        <w:t xml:space="preserve">However, experiments on the training data reveal that calibration of forecasts based on the Poisson distribution is poor, suggesting that the shape of the distribution is unsuitable for the present application. </w:t>
      </w:r>
      <w:r w:rsidR="000748A0">
        <w:t>We</w:t>
      </w:r>
      <w:r>
        <w:t xml:space="preserve"> observe that forecast uncertainty appears to vary depending on the time of day and possibly other explanatory variables. Therefore, we consider more flexible, two-parameter distributions to specify additive models for both location and scale parameters, specifically the truncated Normal distribution, with truncation at 0. The resulting density forecasts are given by</w:t>
      </w:r>
    </w:p>
    <w:p w14:paraId="0E9AA7B2" w14:textId="214CA178" w:rsidR="00947193" w:rsidRDefault="00FF1AC2">
      <w:pPr>
        <w:spacing w:after="94"/>
        <w:ind w:left="13" w:right="0" w:firstLine="0"/>
      </w:pPr>
      <m:oMath>
        <m:sSub>
          <m:sSubPr>
            <m:ctrlPr>
              <w:rPr>
                <w:rFonts w:ascii="Cambria Math" w:hAnsi="Cambria Math"/>
                <w:i/>
              </w:rPr>
            </m:ctrlPr>
          </m:sSubPr>
          <m:e>
            <m:r>
              <w:rPr>
                <w:rFonts w:ascii="Cambria Math" w:hAnsi="Cambria Math"/>
              </w:rPr>
              <m:t>F</m:t>
            </m:r>
          </m:e>
          <m:sub>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e>
            </m:d>
            <m:r>
              <w:rPr>
                <w:rFonts w:ascii="Cambria Math" w:hAnsi="Cambria Math"/>
              </w:rPr>
              <m:t>=</m:t>
            </m:r>
          </m:sub>
        </m:sSub>
        <m:f>
          <m:fPr>
            <m:ctrlPr>
              <w:rPr>
                <w:rFonts w:ascii="Cambria Math" w:hAnsi="Cambria Math"/>
                <w:i/>
              </w:rPr>
            </m:ctrlPr>
          </m:fPr>
          <m:num>
            <m:r>
              <m:rPr>
                <m:sty m:val="p"/>
              </m:rPr>
              <w:rPr>
                <w:rFonts w:ascii="Cambria Math" w:hAnsi="Cambria Math"/>
              </w:rPr>
              <m:t>Φ</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t</m:t>
                        </m:r>
                      </m:sub>
                    </m:sSub>
                  </m:den>
                </m:f>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t</m:t>
                        </m:r>
                      </m:sub>
                    </m:sSub>
                  </m:den>
                </m:f>
              </m:e>
            </m:d>
          </m:num>
          <m:den>
            <m:r>
              <w:rPr>
                <w:rFonts w:ascii="Cambria Math" w:hAnsi="Cambria Math"/>
              </w:rPr>
              <m:t>1-</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t</m:t>
                        </m:r>
                      </m:sub>
                    </m:sSub>
                  </m:den>
                </m:f>
              </m:e>
            </m:d>
          </m:den>
        </m:f>
      </m:oMath>
      <w:r w:rsidR="00947193">
        <w:t xml:space="preserve"> </w:t>
      </w:r>
      <w:r w:rsidR="00210A5E">
        <w:t>,</w:t>
      </w:r>
      <w:r w:rsidR="00947193">
        <w:t xml:space="preserve">         </w:t>
      </w:r>
      <w:r w:rsidR="00947193">
        <w:tab/>
      </w:r>
      <w:r w:rsidR="00947193">
        <w:tab/>
      </w:r>
      <w:r w:rsidR="00947193">
        <w:tab/>
      </w:r>
      <w:r w:rsidR="00947193">
        <w:tab/>
      </w:r>
      <w:r w:rsidR="00947193">
        <w:tab/>
      </w:r>
      <w:r w:rsidR="00947193">
        <w:tab/>
      </w:r>
      <w:r w:rsidR="00947193">
        <w:tab/>
      </w:r>
      <w:r w:rsidR="00947193">
        <w:tab/>
      </w:r>
      <w:r w:rsidR="00947193">
        <w:tab/>
        <w:t>(7)</w:t>
      </w:r>
    </w:p>
    <w:p w14:paraId="620717AF" w14:textId="6ED22321" w:rsidR="009034C6" w:rsidRDefault="00784AE8">
      <w:pPr>
        <w:spacing w:after="94"/>
        <w:ind w:left="13" w:right="0" w:firstLine="0"/>
      </w:pPr>
      <w:r>
        <w:t>with additive models</w:t>
      </w:r>
    </w:p>
    <w:p w14:paraId="45248830" w14:textId="713421A8" w:rsidR="009034C6" w:rsidRDefault="00784AE8" w:rsidP="00947193">
      <w:pPr>
        <w:tabs>
          <w:tab w:val="center" w:pos="2051"/>
          <w:tab w:val="center" w:pos="3324"/>
        </w:tabs>
        <w:spacing w:after="125" w:line="259" w:lineRule="auto"/>
        <w:ind w:left="0" w:right="0" w:firstLine="0"/>
        <w:jc w:val="left"/>
      </w:pPr>
      <w:r>
        <w:rPr>
          <w:sz w:val="22"/>
        </w:rPr>
        <w:tab/>
      </w:r>
    </w:p>
    <w:p w14:paraId="25897DB2" w14:textId="0046F273" w:rsidR="009034C6" w:rsidRDefault="00784AE8">
      <w:pPr>
        <w:spacing w:after="3" w:line="259" w:lineRule="auto"/>
        <w:ind w:left="96" w:right="97" w:hanging="10"/>
        <w:jc w:val="center"/>
      </w:pPr>
      <w:r>
        <w:rPr>
          <w:i/>
        </w:rPr>
        <w:t>µ</w:t>
      </w:r>
      <w:r>
        <w:rPr>
          <w:i/>
          <w:vertAlign w:val="subscript"/>
        </w:rPr>
        <w:t xml:space="preserve">t </w:t>
      </w:r>
      <w: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10</m:t>
            </m:r>
          </m:sup>
          <m:e>
            <m:r>
              <w:rPr>
                <w:rFonts w:ascii="Cambria Math" w:hAnsi="Cambria Math"/>
              </w:rPr>
              <m:t>β</m:t>
            </m:r>
            <m:r>
              <w:rPr>
                <w:rFonts w:ascii="Cambria Math" w:hAnsi="Cambria Math"/>
                <w:vertAlign w:val="subscript"/>
              </w:rPr>
              <m:t>i</m:t>
            </m:r>
            <m:r>
              <w:rPr>
                <w:rFonts w:ascii="Cambria Math" w:hAnsi="Cambria Math"/>
              </w:rPr>
              <m:t>D</m:t>
            </m:r>
            <m:r>
              <w:rPr>
                <w:rFonts w:ascii="Cambria Math" w:hAnsi="Cambria Math"/>
                <w:vertAlign w:val="subscript"/>
              </w:rPr>
              <m:t>i</m:t>
            </m:r>
            <m:r>
              <m:rPr>
                <m:sty m:val="p"/>
              </m:rPr>
              <w:rPr>
                <w:rFonts w:ascii="Cambria Math" w:hAnsi="Cambria Math"/>
                <w:vertAlign w:val="superscript"/>
              </w:rPr>
              <m:t>+</m:t>
            </m:r>
            <m:r>
              <m:rPr>
                <m:sty m:val="p"/>
              </m:rPr>
              <w:rPr>
                <w:rFonts w:ascii="Cambria Math" w:hAnsi="Cambria Math"/>
              </w:rPr>
              <m:t>(</m:t>
            </m:r>
            <m:r>
              <w:rPr>
                <w:rFonts w:ascii="Cambria Math" w:hAnsi="Cambria Math"/>
              </w:rPr>
              <m:t>t</m:t>
            </m:r>
            <m:r>
              <m:rPr>
                <m:sty m:val="p"/>
              </m:rPr>
              <w:rPr>
                <w:rFonts w:ascii="Cambria Math" w:hAnsi="Cambria Math"/>
              </w:rPr>
              <m:t xml:space="preserve">) </m:t>
            </m:r>
          </m:e>
        </m:nary>
      </m:oMath>
      <w: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10</m:t>
            </m:r>
          </m:sup>
          <m:e>
            <m:r>
              <w:rPr>
                <w:rFonts w:ascii="Cambria Math" w:hAnsi="Cambria Math"/>
              </w:rPr>
              <m:t>D</m:t>
            </m:r>
            <m:r>
              <w:rPr>
                <w:rFonts w:ascii="Cambria Math" w:hAnsi="Cambria Math"/>
                <w:vertAlign w:val="subscript"/>
              </w:rPr>
              <m:t>j</m:t>
            </m:r>
            <m:r>
              <m:rPr>
                <m:sty m:val="p"/>
              </m:rPr>
              <w:rPr>
                <w:rFonts w:ascii="Cambria Math" w:hAnsi="Cambria Math"/>
                <w:vertAlign w:val="superscript"/>
              </w:rPr>
              <m: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f</m:t>
            </m:r>
            <m:r>
              <w:rPr>
                <w:rFonts w:ascii="Cambria Math" w:hAnsi="Cambria Math"/>
                <w:vertAlign w:val="subscript"/>
              </w:rPr>
              <m:t>j</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 xml:space="preserve">)) </m:t>
            </m:r>
          </m:e>
        </m:nary>
      </m:oMath>
      <w:r>
        <w:t xml:space="preserve"> + </w:t>
      </w:r>
      <w:proofErr w:type="spellStart"/>
      <w:r>
        <w:rPr>
          <w:i/>
        </w:rPr>
        <w:t>tf</w:t>
      </w:r>
      <w:r>
        <w:rPr>
          <w:vertAlign w:val="subscript"/>
        </w:rPr>
        <w:t>Y</w:t>
      </w:r>
      <w:proofErr w:type="spellEnd"/>
      <w:r>
        <w:t>(</w:t>
      </w:r>
      <w:r>
        <w:rPr>
          <w:i/>
        </w:rPr>
        <w:t xml:space="preserve">Y </w:t>
      </w:r>
      <w:r>
        <w:t>(</w:t>
      </w:r>
      <w:r>
        <w:rPr>
          <w:i/>
        </w:rPr>
        <w:t>t</w:t>
      </w:r>
      <w:r>
        <w:t xml:space="preserve">)) + </w:t>
      </w:r>
      <w:proofErr w:type="spellStart"/>
      <w:r>
        <w:rPr>
          <w:i/>
        </w:rPr>
        <w:t>f</w:t>
      </w:r>
      <w:r>
        <w:rPr>
          <w:vertAlign w:val="subscript"/>
        </w:rPr>
        <w:t>Temp</w:t>
      </w:r>
      <w:proofErr w:type="spellEnd"/>
      <w:r>
        <w:t>(</w:t>
      </w:r>
      <w:r>
        <w:rPr>
          <w:i/>
        </w:rPr>
        <w:t xml:space="preserve">Y </w:t>
      </w:r>
      <w:r>
        <w:t>(</w:t>
      </w:r>
      <w:r>
        <w:rPr>
          <w:i/>
        </w:rPr>
        <w:t>t</w:t>
      </w:r>
      <w:r>
        <w:t>)</w:t>
      </w:r>
      <w:r>
        <w:rPr>
          <w:i/>
        </w:rPr>
        <w:t>,C</w:t>
      </w:r>
      <w:r>
        <w:rPr>
          <w:i/>
          <w:vertAlign w:val="subscript"/>
        </w:rPr>
        <w:t>t</w:t>
      </w:r>
      <w:r>
        <w:t>)</w:t>
      </w:r>
    </w:p>
    <w:p w14:paraId="26A7CA7E" w14:textId="0F516C4C" w:rsidR="009034C6" w:rsidRDefault="00784AE8">
      <w:pPr>
        <w:tabs>
          <w:tab w:val="center" w:pos="2051"/>
          <w:tab w:val="center" w:pos="3324"/>
        </w:tabs>
        <w:spacing w:after="60" w:line="259" w:lineRule="auto"/>
        <w:ind w:left="0" w:right="0" w:firstLine="0"/>
        <w:jc w:val="left"/>
      </w:pPr>
      <w:r>
        <w:rPr>
          <w:sz w:val="22"/>
        </w:rPr>
        <w:tab/>
      </w:r>
    </w:p>
    <w:p w14:paraId="15E0802D" w14:textId="658CFA8E" w:rsidR="009034C6" w:rsidRDefault="00784AE8">
      <w:pPr>
        <w:ind w:left="1451" w:right="0" w:firstLine="0"/>
      </w:pPr>
      <w:r>
        <w:rPr>
          <w:i/>
        </w:rPr>
        <w:t>log</w:t>
      </w:r>
      <w:r>
        <w:t>(</w:t>
      </w:r>
      <w:proofErr w:type="spellStart"/>
      <w:r>
        <w:rPr>
          <w:i/>
        </w:rPr>
        <w:t>σ</w:t>
      </w:r>
      <w:r>
        <w:rPr>
          <w:i/>
          <w:vertAlign w:val="subscript"/>
        </w:rPr>
        <w:t>t</w:t>
      </w:r>
      <w:proofErr w:type="spellEnd"/>
      <w:r>
        <w:t xml:space="preserv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10</m:t>
            </m:r>
          </m:sup>
          <m:e>
            <m:r>
              <w:rPr>
                <w:rFonts w:ascii="Cambria Math" w:hAnsi="Cambria Math"/>
              </w:rPr>
              <m:t>D</m:t>
            </m:r>
            <m:r>
              <w:rPr>
                <w:rFonts w:ascii="Cambria Math" w:hAnsi="Cambria Math"/>
                <w:vertAlign w:val="subscript"/>
              </w:rPr>
              <m:t>i</m:t>
            </m:r>
            <m:r>
              <m:rPr>
                <m:sty m:val="p"/>
              </m:rPr>
              <w:rPr>
                <w:rFonts w:ascii="Cambria Math" w:hAnsi="Cambria Math"/>
                <w:vertAlign w:val="superscript"/>
              </w:rPr>
              <m: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e>
        </m:nary>
      </m:oMath>
    </w:p>
    <w:p w14:paraId="63262F28" w14:textId="77777777" w:rsidR="00387CEF" w:rsidRDefault="00387CEF">
      <w:pPr>
        <w:ind w:left="13" w:right="0" w:firstLine="0"/>
        <w:rPr>
          <w:i/>
          <w:sz w:val="14"/>
        </w:rPr>
      </w:pPr>
    </w:p>
    <w:p w14:paraId="3F0C25BB" w14:textId="6C7517FD" w:rsidR="009034C6" w:rsidRDefault="00784AE8">
      <w:pPr>
        <w:ind w:left="13" w:right="0" w:firstLine="0"/>
      </w:pPr>
      <w:r>
        <w:t>for the mean and variance parameters. This model is referred to as NOtr-1 below.</w:t>
      </w:r>
    </w:p>
    <w:p w14:paraId="50104FA6" w14:textId="7324CE16" w:rsidR="009034C6" w:rsidRDefault="00784AE8">
      <w:pPr>
        <w:spacing w:after="353"/>
        <w:ind w:left="13" w:right="0"/>
      </w:pPr>
      <w:r>
        <w:t xml:space="preserve">Furthermore, we consider an extension to the additive models for </w:t>
      </w:r>
      <w:proofErr w:type="spellStart"/>
      <w:r>
        <w:rPr>
          <w:i/>
          <w:sz w:val="31"/>
          <w:vertAlign w:val="subscript"/>
        </w:rPr>
        <w:t>λ</w:t>
      </w:r>
      <w:r>
        <w:rPr>
          <w:i/>
          <w:vertAlign w:val="subscript"/>
        </w:rPr>
        <w:t>t</w:t>
      </w:r>
      <w:proofErr w:type="spellEnd"/>
      <w:r>
        <w:rPr>
          <w:i/>
          <w:vertAlign w:val="subscript"/>
        </w:rPr>
        <w:t xml:space="preserve"> </w:t>
      </w:r>
      <w:r>
        <w:t xml:space="preserve">and </w:t>
      </w:r>
      <w:r>
        <w:rPr>
          <w:i/>
          <w:sz w:val="31"/>
          <w:vertAlign w:val="subscript"/>
        </w:rPr>
        <w:t>µ</w:t>
      </w:r>
      <w:r>
        <w:rPr>
          <w:i/>
          <w:vertAlign w:val="subscript"/>
        </w:rPr>
        <w:t xml:space="preserve">t </w:t>
      </w:r>
      <w:r>
        <w:t xml:space="preserve">above to incorporate school and public holidays into </w:t>
      </w:r>
      <w:r>
        <w:rPr>
          <w:i/>
          <w:sz w:val="31"/>
          <w:vertAlign w:val="subscript"/>
        </w:rPr>
        <w:t>D</w:t>
      </w:r>
      <w:r>
        <w:t xml:space="preserve">. These models are labelled Poisson-2 and NOtr-2. We also performed experiments with the truncated </w:t>
      </w:r>
      <w:r>
        <w:rPr>
          <w:i/>
          <w:sz w:val="31"/>
          <w:vertAlign w:val="subscript"/>
        </w:rPr>
        <w:t xml:space="preserve">t </w:t>
      </w:r>
      <w:r>
        <w:t xml:space="preserve">distribution (Ttr-2) and negative binomial distribution (NBI-2), but these did not </w:t>
      </w:r>
      <w:r w:rsidR="000748A0">
        <w:t>result</w:t>
      </w:r>
      <w:r>
        <w:t xml:space="preserve"> in forecasts as well calibrated as the truncated normal.</w:t>
      </w:r>
    </w:p>
    <w:p w14:paraId="1CCC6F8B" w14:textId="77777777" w:rsidR="009034C6" w:rsidRDefault="00784AE8">
      <w:pPr>
        <w:pStyle w:val="Heading1"/>
        <w:ind w:left="306" w:hanging="293"/>
      </w:pPr>
      <w:r>
        <w:t>Forecast performance evaluation</w:t>
      </w:r>
    </w:p>
    <w:p w14:paraId="69DFF1F9" w14:textId="2212A09A" w:rsidR="009034C6" w:rsidRDefault="000748A0">
      <w:pPr>
        <w:spacing w:after="36"/>
        <w:ind w:left="13" w:right="0"/>
      </w:pPr>
      <w:r>
        <w:t>To</w:t>
      </w:r>
      <w:r w:rsidR="00784AE8">
        <w:t xml:space="preserve"> assess the performance of models, we evaluate predictive quantiles at probability levels 0.05 to 0.95 in steps of 0.05 and conditional expectations for 0 to 48 hours ahead produced by each model. We forecast up to 48 hours because this is the operational horizon in the ED, for which it is possible to make short-term changes in the shifts for nurses and doctors. The forecasts are produced every 12 hours for the holdout of 365 days in a rolling origin fashion [35], resulting in 727 origins. Based on these values, several error measures are calculated to evaluate the performance of models in terms of specific quantiles and expectation. The latter is measured via Root Mean Squared Error (RMSE):</w:t>
      </w:r>
    </w:p>
    <w:p w14:paraId="20802AE4" w14:textId="77777777" w:rsidR="00387CEF" w:rsidRDefault="00387CEF">
      <w:pPr>
        <w:ind w:left="4296" w:right="0" w:hanging="841"/>
      </w:pPr>
    </w:p>
    <w:p w14:paraId="47B28944" w14:textId="7743AD8A" w:rsidR="009034C6" w:rsidRDefault="00784AE8" w:rsidP="00387CEF">
      <w:pPr>
        <w:ind w:left="4296" w:right="0" w:hanging="841"/>
      </w:pPr>
      <w:r>
        <w:t xml:space="preserve">RMSE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h</m:t>
                </m:r>
              </m:sup>
              <m:e>
                <m:sSubSup>
                  <m:sSubSupPr>
                    <m:ctrlPr>
                      <w:rPr>
                        <w:rFonts w:ascii="Cambria Math" w:hAnsi="Cambria Math"/>
                        <w:i/>
                      </w:rPr>
                    </m:ctrlPr>
                  </m:sSubSupPr>
                  <m:e>
                    <m:r>
                      <w:rPr>
                        <w:rFonts w:ascii="Cambria Math" w:hAnsi="Cambria Math"/>
                      </w:rPr>
                      <m:t>e</m:t>
                    </m:r>
                  </m:e>
                  <m:sub>
                    <m:r>
                      <w:rPr>
                        <w:rFonts w:ascii="Cambria Math" w:hAnsi="Cambria Math"/>
                      </w:rPr>
                      <m:t>t+j</m:t>
                    </m:r>
                  </m:sub>
                  <m:sup>
                    <m:r>
                      <w:rPr>
                        <w:rFonts w:ascii="Cambria Math" w:hAnsi="Cambria Math"/>
                      </w:rPr>
                      <m:t>2</m:t>
                    </m:r>
                  </m:sup>
                </m:sSubSup>
              </m:e>
            </m:nary>
            <m:r>
              <w:rPr>
                <w:rFonts w:ascii="Cambria Math" w:hAnsi="Cambria Math"/>
              </w:rPr>
              <m:t>,</m:t>
            </m:r>
          </m:e>
        </m:rad>
      </m:oMath>
    </w:p>
    <w:p w14:paraId="2748C5CE" w14:textId="77777777" w:rsidR="009034C6" w:rsidRDefault="00784AE8">
      <w:pPr>
        <w:ind w:left="13" w:right="0" w:firstLine="0"/>
      </w:pPr>
      <w:r>
        <w:t xml:space="preserve">where </w:t>
      </w:r>
      <w:r>
        <w:rPr>
          <w:i/>
          <w:sz w:val="31"/>
          <w:vertAlign w:val="subscript"/>
        </w:rPr>
        <w:t xml:space="preserve">h </w:t>
      </w:r>
      <w:r>
        <w:t xml:space="preserve">is the forecast horizon and </w:t>
      </w:r>
      <w:proofErr w:type="spellStart"/>
      <w:r>
        <w:rPr>
          <w:i/>
          <w:sz w:val="31"/>
          <w:vertAlign w:val="subscript"/>
        </w:rPr>
        <w:t>e</w:t>
      </w:r>
      <w:r>
        <w:rPr>
          <w:i/>
          <w:vertAlign w:val="subscript"/>
        </w:rPr>
        <w:t>t</w:t>
      </w:r>
      <w:r>
        <w:rPr>
          <w:vertAlign w:val="subscript"/>
        </w:rPr>
        <w:t>+</w:t>
      </w:r>
      <w:r>
        <w:rPr>
          <w:i/>
          <w:vertAlign w:val="subscript"/>
        </w:rPr>
        <w:t>j</w:t>
      </w:r>
      <w:proofErr w:type="spellEnd"/>
      <w:r>
        <w:rPr>
          <w:i/>
          <w:vertAlign w:val="subscript"/>
        </w:rPr>
        <w:t xml:space="preserve"> </w:t>
      </w:r>
      <w:r>
        <w:t xml:space="preserve">is the point forecast error </w:t>
      </w:r>
      <w:r>
        <w:rPr>
          <w:i/>
          <w:sz w:val="31"/>
          <w:vertAlign w:val="subscript"/>
        </w:rPr>
        <w:t xml:space="preserve">j </w:t>
      </w:r>
      <w:r>
        <w:t>steps ahead.</w:t>
      </w:r>
    </w:p>
    <w:p w14:paraId="2DD929FB" w14:textId="77777777" w:rsidR="009034C6" w:rsidRDefault="00784AE8">
      <w:pPr>
        <w:ind w:left="13" w:right="0"/>
      </w:pPr>
      <w:r>
        <w:t xml:space="preserve">The objective of density forecasts is to be as sharp as possible while remaining reliable/calibrated [12]. A forecast is said to be sharp if the predictive distribution has a relatively small spread, indicating low uncertainty, which is valuable to decision-makers provided the forecast is calibrated. Calibration, also called reliability, is the property that forecast probabilities match the observed frequency of realisations. If a forecast is calibrated, then, for example, 20% of observations should fall below the </w:t>
      </w:r>
      <w:r>
        <w:rPr>
          <w:i/>
        </w:rPr>
        <w:t xml:space="preserve">α </w:t>
      </w:r>
      <w:r>
        <w:t>= 0</w:t>
      </w:r>
      <w:r>
        <w:rPr>
          <w:i/>
          <w:sz w:val="31"/>
          <w:vertAlign w:val="subscript"/>
        </w:rPr>
        <w:t>.</w:t>
      </w:r>
      <w:r>
        <w:t xml:space="preserve">2 predictive quantile (with some tolerance based on the finite sample size). This property is necessary for forecast probabilities to be used in quantitative </w:t>
      </w:r>
      <w:r>
        <w:lastRenderedPageBreak/>
        <w:t xml:space="preserve">decision-making. Calibration is typically evaluated visually using reliability diagrams, which plot the nominal coverage, </w:t>
      </w:r>
      <w:r>
        <w:rPr>
          <w:i/>
          <w:sz w:val="31"/>
          <w:vertAlign w:val="subscript"/>
        </w:rPr>
        <w:t>α</w:t>
      </w:r>
      <w:r>
        <w:t>, against observed frequency mean (</w:t>
      </w:r>
      <w:r>
        <w:rPr>
          <w:b/>
          <w:sz w:val="31"/>
          <w:vertAlign w:val="subscript"/>
        </w:rPr>
        <w:t>1</w:t>
      </w:r>
      <w:r>
        <w:t>(</w:t>
      </w:r>
      <w:proofErr w:type="spellStart"/>
      <w:r>
        <w:rPr>
          <w:i/>
          <w:sz w:val="31"/>
          <w:vertAlign w:val="subscript"/>
        </w:rPr>
        <w:t>y</w:t>
      </w:r>
      <w:r>
        <w:rPr>
          <w:i/>
          <w:vertAlign w:val="subscript"/>
        </w:rPr>
        <w:t>t</w:t>
      </w:r>
      <w:proofErr w:type="spellEnd"/>
      <w:r>
        <w:rPr>
          <w:i/>
          <w:vertAlign w:val="subscript"/>
        </w:rPr>
        <w:t xml:space="preserve"> </w:t>
      </w:r>
      <w:r>
        <w:rPr>
          <w:i/>
          <w:sz w:val="31"/>
          <w:vertAlign w:val="subscript"/>
        </w:rPr>
        <w:t>≤ q</w:t>
      </w:r>
      <w:r>
        <w:rPr>
          <w:i/>
          <w:vertAlign w:val="subscript"/>
        </w:rPr>
        <w:t>α,t</w:t>
      </w:r>
      <w:r>
        <w:t>)). We use several scores to assess the quantile performance of models.</w:t>
      </w:r>
    </w:p>
    <w:p w14:paraId="7F2C5A39" w14:textId="77777777" w:rsidR="009034C6" w:rsidRDefault="00784AE8">
      <w:pPr>
        <w:ind w:left="13" w:right="0"/>
      </w:pPr>
      <w:r>
        <w:t>First, to measure quantile performance, we need to calculate the pinball score, which is a strictly proper score used to evaluate quantile forecasts and is the discrete form of the Continuous Rank Probability Score [17]. It rewards sharpness and penalises miscalibration, so it measures overall performance. However, calibration should still be verified separately. Furthermore, The Pinball Score for an individual quantile matches the loss function minimised in a quantile regression model. The</w:t>
      </w:r>
    </w:p>
    <w:p w14:paraId="638E26F4" w14:textId="77777777" w:rsidR="009034C6" w:rsidRDefault="009034C6">
      <w:pPr>
        <w:sectPr w:rsidR="009034C6">
          <w:footerReference w:type="even" r:id="rId20"/>
          <w:footerReference w:type="default" r:id="rId21"/>
          <w:footerReference w:type="first" r:id="rId22"/>
          <w:pgSz w:w="12240" w:h="15840"/>
          <w:pgMar w:top="1392" w:right="1662" w:bottom="1360" w:left="1673" w:header="720" w:footer="679" w:gutter="0"/>
          <w:cols w:space="720"/>
        </w:sectPr>
      </w:pPr>
    </w:p>
    <w:p w14:paraId="5F794E5B" w14:textId="77777777" w:rsidR="009034C6" w:rsidRDefault="00784AE8">
      <w:pPr>
        <w:spacing w:after="524"/>
        <w:ind w:left="13" w:right="0" w:firstLine="0"/>
      </w:pPr>
      <w:r>
        <w:t>Pinball Score is given by</w:t>
      </w:r>
    </w:p>
    <w:p w14:paraId="4BBFF298" w14:textId="2BF38E96" w:rsidR="009034C6" w:rsidRDefault="00784AE8">
      <w:pPr>
        <w:tabs>
          <w:tab w:val="center" w:pos="2555"/>
          <w:tab w:val="center" w:pos="4978"/>
          <w:tab w:val="right" w:pos="8904"/>
        </w:tabs>
        <w:spacing w:after="0" w:line="265" w:lineRule="auto"/>
        <w:ind w:left="0" w:right="0" w:firstLine="0"/>
        <w:jc w:val="left"/>
      </w:pPr>
      <w:r>
        <w:rPr>
          <w:sz w:val="22"/>
        </w:rPr>
        <w:tab/>
      </w:r>
      <w:r>
        <w:t>Pinball =</w:t>
      </w:r>
      <w:r w:rsidR="00387CEF">
        <w:t xml:space="preserve"> </w:t>
      </w:r>
      <m:oMath>
        <m:f>
          <m:fPr>
            <m:ctrlPr>
              <w:rPr>
                <w:rFonts w:ascii="Cambria Math" w:hAnsi="Cambria Math"/>
                <w:i/>
              </w:rPr>
            </m:ctrlPr>
          </m:fPr>
          <m:num>
            <m:r>
              <w:rPr>
                <w:rFonts w:ascii="Cambria Math" w:hAnsi="Cambria Math"/>
              </w:rPr>
              <m:t>1</m:t>
            </m:r>
          </m:num>
          <m:den>
            <m:r>
              <w:rPr>
                <w:rFonts w:ascii="Cambria Math" w:hAnsi="Cambria Math"/>
              </w:rPr>
              <m:t>T|A|</m:t>
            </m:r>
          </m:den>
        </m:f>
        <m:nary>
          <m:naryPr>
            <m:chr m:val="∑"/>
            <m:limLoc m:val="undOvr"/>
            <m:supHide m:val="1"/>
            <m:ctrlPr>
              <w:rPr>
                <w:rFonts w:ascii="Cambria Math" w:hAnsi="Cambria Math"/>
                <w:i/>
              </w:rPr>
            </m:ctrlPr>
          </m:naryPr>
          <m:sub>
            <m:r>
              <w:rPr>
                <w:rFonts w:ascii="Cambria Math" w:hAnsi="Cambria Math"/>
                <w:sz w:val="14"/>
              </w:rPr>
              <m:t>α∈A</m:t>
            </m:r>
          </m:sub>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m:rPr>
                    <m:sty m:val="p"/>
                  </m:rPr>
                  <w:rPr>
                    <w:rFonts w:ascii="Cambria Math" w:hAnsi="Cambria Math"/>
                  </w:rPr>
                  <m:t>(</m:t>
                </m:r>
                <m:r>
                  <w:rPr>
                    <w:rFonts w:ascii="Cambria Math" w:hAnsi="Cambria Math"/>
                  </w:rPr>
                  <m:t>q</m:t>
                </m:r>
                <m:r>
                  <w:rPr>
                    <w:rFonts w:ascii="Cambria Math" w:hAnsi="Cambria Math"/>
                    <w:vertAlign w:val="subscript"/>
                  </w:rPr>
                  <m:t xml:space="preserve">α,t </m:t>
                </m:r>
                <m:r>
                  <w:rPr>
                    <w:rFonts w:ascii="Cambria Math" w:hAnsi="Cambria Math"/>
                  </w:rPr>
                  <m:t>- y</m:t>
                </m:r>
                <m:r>
                  <w:rPr>
                    <w:rFonts w:ascii="Cambria Math" w:hAnsi="Cambria Math"/>
                    <w:vertAlign w:val="subscript"/>
                  </w:rPr>
                  <m:t>t</m:t>
                </m:r>
                <m:r>
                  <m:rPr>
                    <m:sty m:val="p"/>
                  </m:rPr>
                  <w:rPr>
                    <w:rFonts w:ascii="Cambria Math" w:hAnsi="Cambria Math"/>
                  </w:rPr>
                  <m:t>)(</m:t>
                </m:r>
                <m:r>
                  <m:rPr>
                    <m:sty m:val="b"/>
                  </m:rPr>
                  <w:rPr>
                    <w:rFonts w:ascii="Cambria Math" w:hAnsi="Cambria Math"/>
                  </w:rPr>
                  <m:t>1</m:t>
                </m:r>
                <m:r>
                  <m:rPr>
                    <m:sty m:val="p"/>
                  </m:rPr>
                  <w:rPr>
                    <w:rFonts w:ascii="Cambria Math" w:hAnsi="Cambria Math"/>
                  </w:rPr>
                  <m:t>(</m:t>
                </m:r>
                <m:r>
                  <w:rPr>
                    <w:rFonts w:ascii="Cambria Math" w:hAnsi="Cambria Math"/>
                  </w:rPr>
                  <m:t>y</m:t>
                </m:r>
                <m:r>
                  <w:rPr>
                    <w:rFonts w:ascii="Cambria Math" w:hAnsi="Cambria Math"/>
                    <w:vertAlign w:val="subscript"/>
                  </w:rPr>
                  <m:t xml:space="preserve">t </m:t>
                </m:r>
                <m:r>
                  <w:rPr>
                    <w:rFonts w:ascii="Cambria Math" w:hAnsi="Cambria Math"/>
                  </w:rPr>
                  <m:t>≤ q</m:t>
                </m:r>
                <m:r>
                  <w:rPr>
                    <w:rFonts w:ascii="Cambria Math" w:hAnsi="Cambria Math"/>
                    <w:vertAlign w:val="subscript"/>
                  </w:rPr>
                  <m:t>α,t</m:t>
                </m:r>
                <m:r>
                  <m:rPr>
                    <m:sty m:val="p"/>
                  </m:rPr>
                  <w:rPr>
                    <w:rFonts w:ascii="Cambria Math" w:hAnsi="Cambria Math"/>
                  </w:rPr>
                  <m:t xml:space="preserve">) </m:t>
                </m:r>
                <m:r>
                  <w:rPr>
                    <w:rFonts w:ascii="Cambria Math" w:hAnsi="Cambria Math"/>
                  </w:rPr>
                  <m:t>- α</m:t>
                </m:r>
                <m:r>
                  <m:rPr>
                    <m:sty m:val="p"/>
                  </m:rPr>
                  <w:rPr>
                    <w:rFonts w:ascii="Cambria Math" w:hAnsi="Cambria Math"/>
                  </w:rPr>
                  <m:t>)</m:t>
                </m:r>
                <m:r>
                  <w:rPr>
                    <w:rFonts w:ascii="Cambria Math" w:hAnsi="Cambria Math"/>
                  </w:rPr>
                  <m:t>,</m:t>
                </m:r>
              </m:e>
            </m:nary>
          </m:e>
        </m:nary>
      </m:oMath>
      <w:r w:rsidR="00387CEF">
        <w:t xml:space="preserve"> </w:t>
      </w:r>
      <w:r>
        <w:rPr>
          <w:i/>
        </w:rPr>
        <w:tab/>
      </w:r>
      <w:r w:rsidR="00D264D6">
        <w:rPr>
          <w:i/>
        </w:rPr>
        <w:tab/>
      </w:r>
      <w:r>
        <w:t>(9)</w:t>
      </w:r>
    </w:p>
    <w:p w14:paraId="7C17E935" w14:textId="77777777" w:rsidR="009034C6" w:rsidRDefault="00784AE8">
      <w:pPr>
        <w:ind w:left="13" w:right="0" w:firstLine="0"/>
      </w:pPr>
      <w:r>
        <w:t xml:space="preserve">where </w:t>
      </w:r>
      <w:r>
        <w:rPr>
          <w:i/>
        </w:rPr>
        <w:t xml:space="preserve">A </w:t>
      </w:r>
      <w:r>
        <w:t xml:space="preserve">= </w:t>
      </w:r>
      <w:r>
        <w:rPr>
          <w:i/>
        </w:rPr>
        <w:t>{</w:t>
      </w:r>
      <w:r>
        <w:t>0</w:t>
      </w:r>
      <w:r>
        <w:rPr>
          <w:i/>
          <w:sz w:val="31"/>
          <w:vertAlign w:val="subscript"/>
        </w:rPr>
        <w:t>.</w:t>
      </w:r>
      <w:r>
        <w:t>05</w:t>
      </w:r>
      <w:r>
        <w:rPr>
          <w:i/>
          <w:sz w:val="31"/>
          <w:vertAlign w:val="subscript"/>
        </w:rPr>
        <w:t>,</w:t>
      </w:r>
      <w:r>
        <w:t>0</w:t>
      </w:r>
      <w:r>
        <w:rPr>
          <w:i/>
          <w:sz w:val="31"/>
          <w:vertAlign w:val="subscript"/>
        </w:rPr>
        <w:t>.</w:t>
      </w:r>
      <w:r>
        <w:t>1</w:t>
      </w:r>
      <w:r>
        <w:rPr>
          <w:i/>
          <w:sz w:val="31"/>
          <w:vertAlign w:val="subscript"/>
        </w:rPr>
        <w:t>,...,</w:t>
      </w:r>
      <w:r>
        <w:t>0</w:t>
      </w:r>
      <w:r>
        <w:rPr>
          <w:i/>
          <w:sz w:val="31"/>
          <w:vertAlign w:val="subscript"/>
        </w:rPr>
        <w:t>.</w:t>
      </w:r>
      <w:r>
        <w:t>95</w:t>
      </w:r>
      <w:r>
        <w:rPr>
          <w:i/>
        </w:rPr>
        <w:t xml:space="preserve">} </w:t>
      </w:r>
      <w:r>
        <w:t>is the set of quantiles being estimated.</w:t>
      </w:r>
    </w:p>
    <w:p w14:paraId="3C5A8FDD" w14:textId="77777777" w:rsidR="009034C6" w:rsidRDefault="00784AE8">
      <w:pPr>
        <w:spacing w:after="250"/>
        <w:ind w:left="13" w:right="0"/>
      </w:pPr>
      <w:r>
        <w:t>To compare model performance, and the significance of any apparent difference in performance, we will use skill scores, which can be calculated for any metric via:</w:t>
      </w:r>
    </w:p>
    <w:p w14:paraId="794DE3A1" w14:textId="33910C8D" w:rsidR="009034C6" w:rsidRDefault="00784AE8">
      <w:pPr>
        <w:tabs>
          <w:tab w:val="center" w:pos="4434"/>
          <w:tab w:val="right" w:pos="8904"/>
        </w:tabs>
        <w:spacing w:after="72" w:line="265" w:lineRule="auto"/>
        <w:ind w:left="0" w:right="0" w:firstLine="0"/>
        <w:jc w:val="left"/>
      </w:pPr>
      <w:r>
        <w:rPr>
          <w:sz w:val="22"/>
        </w:rPr>
        <w:tab/>
      </w:r>
      <w:r>
        <w:t>Skill =</w:t>
      </w:r>
      <w:r w:rsidR="00D264D6">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ref</m:t>
                </m:r>
              </m:sub>
            </m:sSub>
            <m:r>
              <w:rPr>
                <w:rFonts w:ascii="Cambria Math" w:hAnsi="Cambria Math"/>
              </w:rPr>
              <m:t>-M</m:t>
            </m:r>
          </m:num>
          <m:den>
            <m:sSub>
              <m:sSubPr>
                <m:ctrlPr>
                  <w:rPr>
                    <w:rFonts w:ascii="Cambria Math" w:hAnsi="Cambria Math"/>
                    <w:i/>
                  </w:rPr>
                </m:ctrlPr>
              </m:sSubPr>
              <m:e>
                <m:r>
                  <w:rPr>
                    <w:rFonts w:ascii="Cambria Math" w:hAnsi="Cambria Math"/>
                  </w:rPr>
                  <m:t>M</m:t>
                </m:r>
              </m:e>
              <m:sub>
                <m:r>
                  <w:rPr>
                    <w:rFonts w:ascii="Cambria Math" w:hAnsi="Cambria Math"/>
                  </w:rPr>
                  <m:t>ref</m:t>
                </m:r>
              </m:sub>
            </m:sSub>
          </m:den>
        </m:f>
      </m:oMath>
      <w:r>
        <w:rPr>
          <w:i/>
        </w:rPr>
        <w:tab/>
      </w:r>
      <w:r>
        <w:t>(10)</w:t>
      </w:r>
    </w:p>
    <w:p w14:paraId="13F76C16" w14:textId="77777777" w:rsidR="009034C6" w:rsidRDefault="00784AE8">
      <w:pPr>
        <w:spacing w:after="11" w:line="226" w:lineRule="auto"/>
        <w:ind w:left="20" w:right="0" w:hanging="7"/>
        <w:jc w:val="left"/>
      </w:pPr>
      <w:r>
        <w:t xml:space="preserve">where </w:t>
      </w:r>
      <w:r>
        <w:rPr>
          <w:i/>
          <w:sz w:val="31"/>
          <w:vertAlign w:val="subscript"/>
        </w:rPr>
        <w:t xml:space="preserve">M </w:t>
      </w:r>
      <w:r>
        <w:t xml:space="preserve">is the metric’s value for the method being considered, </w:t>
      </w:r>
      <w:proofErr w:type="spellStart"/>
      <w:r>
        <w:rPr>
          <w:i/>
          <w:sz w:val="31"/>
          <w:vertAlign w:val="subscript"/>
        </w:rPr>
        <w:t>M</w:t>
      </w:r>
      <w:r>
        <w:rPr>
          <w:vertAlign w:val="subscript"/>
        </w:rPr>
        <w:t>ref</w:t>
      </w:r>
      <w:proofErr w:type="spellEnd"/>
      <w:r>
        <w:rPr>
          <w:vertAlign w:val="subscript"/>
        </w:rPr>
        <w:t xml:space="preserve"> </w:t>
      </w:r>
      <w:r>
        <w:t>is the metric’s value for a reference method. The skill score shows by how many per cent the reference approach is worse than the one under consideration. We will use bootstrap re-sampling of skill scores to determine if the differences in forecast performance (i.e. positive or negative skill) are significantly different from zero [11]. Here we use the best performing simple benchmark, Climatology (explained in Subsection 4.1), as the reference model and employ a block-bootstrap with blocks of length 24h to account for temporal correlations of the underlying data [15, 2].</w:t>
      </w:r>
    </w:p>
    <w:p w14:paraId="15FA3EB1" w14:textId="77777777" w:rsidR="009034C6" w:rsidRDefault="00784AE8">
      <w:pPr>
        <w:spacing w:after="367" w:line="226" w:lineRule="auto"/>
        <w:ind w:left="13" w:right="0" w:firstLine="296"/>
        <w:jc w:val="left"/>
      </w:pPr>
      <w:r>
        <w:t>Finally, we have calculated the computational time for one iteration on the first rolling origin to compare the speed of each function. All functions were re-estimated on each iteration. ADAM and Poisson regression estimated the parameters, taking the ones obtained in the initial model application to the data in the first origin as the pre-initials. This allowed to speed up the computation for these two models. The initial estimation of ADAM took approximately one hour and 25 minutes. Each step in the experiment took the time shown in Section 6.</w:t>
      </w:r>
    </w:p>
    <w:p w14:paraId="3C43D6B5" w14:textId="77777777" w:rsidR="009034C6" w:rsidRDefault="00784AE8">
      <w:pPr>
        <w:pStyle w:val="Heading1"/>
        <w:ind w:left="306" w:hanging="293"/>
      </w:pPr>
      <w:r>
        <w:t>Results</w:t>
      </w:r>
    </w:p>
    <w:p w14:paraId="11909F65" w14:textId="77777777" w:rsidR="009034C6" w:rsidRDefault="00784AE8">
      <w:pPr>
        <w:spacing w:after="0" w:line="265" w:lineRule="auto"/>
        <w:ind w:left="10" w:right="24" w:hanging="10"/>
        <w:jc w:val="right"/>
      </w:pPr>
      <w:r>
        <w:t>The data is portioned into training (from 2014-04-01 to 2018-02-28) and test (from 2018-03-01 to</w:t>
      </w:r>
    </w:p>
    <w:p w14:paraId="743F9DA9" w14:textId="77777777" w:rsidR="009034C6" w:rsidRDefault="00784AE8">
      <w:pPr>
        <w:ind w:left="18" w:right="0" w:hanging="5"/>
      </w:pPr>
      <w:r>
        <w:t>2019-02-28) sets, with all model development and hyper-parameter tuning performed using training data only. The rolling origin advances in 12-hour steps and the forecast horizon is set for 48 steps ahead.</w:t>
      </w:r>
    </w:p>
    <w:p w14:paraId="066E603B" w14:textId="21653065" w:rsidR="009034C6" w:rsidRDefault="00784AE8" w:rsidP="00D264D6">
      <w:pPr>
        <w:ind w:left="13" w:right="0"/>
      </w:pPr>
      <w:r>
        <w:t xml:space="preserve">Figure 5 presents pinball score aggregated across forecasting horizons for each quantile. It shows that the difference in performance among the models mainly comes from the middle of the distribution and somewhat from the upper tail. There is very little difference in performance for the lower tail (except for TBATS, which has a consistently higher pinball value than the other models). This is interesting and reassuring that the better models are better at probabilities that matter more to decision-makers. Probabilistic forecasts are evaluated following the principle of </w:t>
      </w:r>
      <w:r w:rsidRPr="00D264D6">
        <w:t>sharpness subject to calibration</w:t>
      </w:r>
      <w:r>
        <w:t>,</w:t>
      </w:r>
      <w:r w:rsidR="00D264D6">
        <w:t xml:space="preserve"> </w:t>
      </w:r>
      <w:r>
        <w:t xml:space="preserve">meaning that the sharper forecast is </w:t>
      </w:r>
      <w:r w:rsidR="00D264D6">
        <w:t>preferred</w:t>
      </w:r>
      <w:r>
        <w:t xml:space="preserve"> </w:t>
      </w:r>
      <w:r w:rsidR="000748A0">
        <w:t>if</w:t>
      </w:r>
      <w:r>
        <w:t xml:space="preserve"> it is calibrated. Mis-calibrated forecasts are unsuitable for use in decision-making, so they should be excluded. Calibration is evaluated visually in Figure 6, which highlights a systematic negative bias across all probability levels in many models, with only the truncated normal and </w:t>
      </w:r>
      <w:r>
        <w:rPr>
          <w:i/>
          <w:sz w:val="31"/>
          <w:vertAlign w:val="subscript"/>
        </w:rPr>
        <w:t xml:space="preserve">t </w:t>
      </w:r>
      <w:r>
        <w:t>family GAMLSS models (NOtr-1, NOtr-2, Ttr-2) and ADAM-</w:t>
      </w:r>
      <w:proofErr w:type="spellStart"/>
      <w:r>
        <w:t>iETSX</w:t>
      </w:r>
      <w:proofErr w:type="spellEnd"/>
      <w:r>
        <w:t xml:space="preserve"> models showing good calibration across most probability levels. Notably, both benchmarks exhibit negative quantile bias as they struggle to capture the </w:t>
      </w:r>
      <w:r w:rsidR="000748A0">
        <w:t>long-term</w:t>
      </w:r>
      <w:r>
        <w:t xml:space="preserve"> trend of increasing attendance. This </w:t>
      </w:r>
      <w:r>
        <w:lastRenderedPageBreak/>
        <w:t>could result in poor staffing decisions for a user as historic data fail to characterise present conditions accurately.</w:t>
      </w:r>
    </w:p>
    <w:p w14:paraId="536E5D59" w14:textId="77777777" w:rsidR="009034C6" w:rsidRDefault="00784AE8">
      <w:pPr>
        <w:spacing w:after="286" w:line="259" w:lineRule="auto"/>
        <w:ind w:left="1414" w:right="0" w:firstLine="0"/>
        <w:jc w:val="left"/>
      </w:pPr>
      <w:r>
        <w:rPr>
          <w:noProof/>
        </w:rPr>
        <w:drawing>
          <wp:inline distT="0" distB="0" distL="0" distR="0" wp14:anchorId="144509E3" wp14:editId="37990ABA">
            <wp:extent cx="3880104" cy="2584704"/>
            <wp:effectExtent l="0" t="0" r="0" b="0"/>
            <wp:docPr id="66524" name="Picture 66524"/>
            <wp:cNvGraphicFramePr/>
            <a:graphic xmlns:a="http://schemas.openxmlformats.org/drawingml/2006/main">
              <a:graphicData uri="http://schemas.openxmlformats.org/drawingml/2006/picture">
                <pic:pic xmlns:pic="http://schemas.openxmlformats.org/drawingml/2006/picture">
                  <pic:nvPicPr>
                    <pic:cNvPr id="66524" name="Picture 66524"/>
                    <pic:cNvPicPr/>
                  </pic:nvPicPr>
                  <pic:blipFill>
                    <a:blip r:embed="rId23"/>
                    <a:stretch>
                      <a:fillRect/>
                    </a:stretch>
                  </pic:blipFill>
                  <pic:spPr>
                    <a:xfrm>
                      <a:off x="0" y="0"/>
                      <a:ext cx="3880104" cy="2584704"/>
                    </a:xfrm>
                    <a:prstGeom prst="rect">
                      <a:avLst/>
                    </a:prstGeom>
                  </pic:spPr>
                </pic:pic>
              </a:graphicData>
            </a:graphic>
          </wp:inline>
        </w:drawing>
      </w:r>
    </w:p>
    <w:p w14:paraId="4BFFF5B9" w14:textId="75C8D33E" w:rsidR="009034C6" w:rsidRDefault="00784AE8">
      <w:pPr>
        <w:spacing w:after="318" w:line="236" w:lineRule="auto"/>
        <w:ind w:left="23" w:right="21" w:hanging="10"/>
      </w:pPr>
      <w:r>
        <w:rPr>
          <w:sz w:val="16"/>
        </w:rPr>
        <w:t xml:space="preserve">Figure 5: Pinball loss values by quantile. Benchmark-2, NBI-2 and NOtr-2 have similar performance with most improvement of the latter two over the benchmark </w:t>
      </w:r>
      <w:r w:rsidR="00D264D6">
        <w:rPr>
          <w:sz w:val="16"/>
        </w:rPr>
        <w:t>coming</w:t>
      </w:r>
      <w:r>
        <w:rPr>
          <w:sz w:val="16"/>
        </w:rPr>
        <w:t xml:space="preserve"> from the lower quantiles. All other models have a greater Pinball score (worse performance) than Benchmark-2 across all quantiles.</w:t>
      </w:r>
    </w:p>
    <w:p w14:paraId="3582A49B" w14:textId="47D8AB8B" w:rsidR="009034C6" w:rsidRDefault="00784AE8">
      <w:pPr>
        <w:spacing w:after="29" w:line="259" w:lineRule="auto"/>
        <w:ind w:left="1414" w:right="0" w:firstLine="0"/>
        <w:jc w:val="left"/>
      </w:pPr>
      <w:r>
        <w:rPr>
          <w:noProof/>
        </w:rPr>
        <w:drawing>
          <wp:inline distT="0" distB="0" distL="0" distR="0" wp14:anchorId="053D636E" wp14:editId="5E39E0AA">
            <wp:extent cx="3883152" cy="1941576"/>
            <wp:effectExtent l="0" t="0" r="0" b="0"/>
            <wp:docPr id="66526" name="Picture 66526"/>
            <wp:cNvGraphicFramePr/>
            <a:graphic xmlns:a="http://schemas.openxmlformats.org/drawingml/2006/main">
              <a:graphicData uri="http://schemas.openxmlformats.org/drawingml/2006/picture">
                <pic:pic xmlns:pic="http://schemas.openxmlformats.org/drawingml/2006/picture">
                  <pic:nvPicPr>
                    <pic:cNvPr id="66526" name="Picture 66526"/>
                    <pic:cNvPicPr/>
                  </pic:nvPicPr>
                  <pic:blipFill>
                    <a:blip r:embed="rId24"/>
                    <a:stretch>
                      <a:fillRect/>
                    </a:stretch>
                  </pic:blipFill>
                  <pic:spPr>
                    <a:xfrm>
                      <a:off x="0" y="0"/>
                      <a:ext cx="3883152" cy="1941576"/>
                    </a:xfrm>
                    <a:prstGeom prst="rect">
                      <a:avLst/>
                    </a:prstGeom>
                  </pic:spPr>
                </pic:pic>
              </a:graphicData>
            </a:graphic>
          </wp:inline>
        </w:drawing>
      </w:r>
    </w:p>
    <w:tbl>
      <w:tblPr>
        <w:tblStyle w:val="TableGrid"/>
        <w:tblW w:w="5333" w:type="dxa"/>
        <w:tblInd w:w="2069" w:type="dxa"/>
        <w:tblLook w:val="04A0" w:firstRow="1" w:lastRow="0" w:firstColumn="1" w:lastColumn="0" w:noHBand="0" w:noVBand="1"/>
      </w:tblPr>
      <w:tblGrid>
        <w:gridCol w:w="506"/>
        <w:gridCol w:w="1865"/>
        <w:gridCol w:w="1178"/>
        <w:gridCol w:w="1523"/>
        <w:gridCol w:w="261"/>
      </w:tblGrid>
      <w:tr w:rsidR="009034C6" w14:paraId="3F9BBFF5" w14:textId="77777777">
        <w:trPr>
          <w:trHeight w:val="314"/>
        </w:trPr>
        <w:tc>
          <w:tcPr>
            <w:tcW w:w="507" w:type="dxa"/>
            <w:tcBorders>
              <w:top w:val="nil"/>
              <w:left w:val="nil"/>
              <w:bottom w:val="nil"/>
              <w:right w:val="nil"/>
            </w:tcBorders>
          </w:tcPr>
          <w:p w14:paraId="6FF1A573" w14:textId="77777777" w:rsidR="009034C6" w:rsidRDefault="00784AE8">
            <w:pPr>
              <w:spacing w:after="0" w:line="259" w:lineRule="auto"/>
              <w:ind w:left="0" w:right="0" w:firstLine="0"/>
              <w:jc w:val="left"/>
            </w:pPr>
            <w:r>
              <w:rPr>
                <w:rFonts w:ascii="Arial" w:eastAsia="Arial" w:hAnsi="Arial" w:cs="Arial"/>
                <w:color w:val="4D4D4D"/>
                <w:sz w:val="13"/>
              </w:rPr>
              <w:t>0.00</w:t>
            </w:r>
          </w:p>
        </w:tc>
        <w:tc>
          <w:tcPr>
            <w:tcW w:w="1865" w:type="dxa"/>
            <w:tcBorders>
              <w:top w:val="nil"/>
              <w:left w:val="nil"/>
              <w:bottom w:val="nil"/>
              <w:right w:val="nil"/>
            </w:tcBorders>
          </w:tcPr>
          <w:p w14:paraId="24651022" w14:textId="5F71B884" w:rsidR="009034C6" w:rsidRDefault="00784AE8">
            <w:pPr>
              <w:spacing w:after="0" w:line="259" w:lineRule="auto"/>
              <w:ind w:left="0" w:right="82" w:firstLine="0"/>
              <w:jc w:val="center"/>
            </w:pPr>
            <w:r>
              <w:rPr>
                <w:rFonts w:ascii="Arial" w:eastAsia="Arial" w:hAnsi="Arial" w:cs="Arial"/>
                <w:color w:val="4D4D4D"/>
                <w:sz w:val="13"/>
              </w:rPr>
              <w:t>0.25</w:t>
            </w:r>
          </w:p>
        </w:tc>
        <w:tc>
          <w:tcPr>
            <w:tcW w:w="1178" w:type="dxa"/>
            <w:tcBorders>
              <w:top w:val="nil"/>
              <w:left w:val="nil"/>
              <w:bottom w:val="nil"/>
              <w:right w:val="nil"/>
            </w:tcBorders>
          </w:tcPr>
          <w:p w14:paraId="5428BCCB" w14:textId="77777777" w:rsidR="009034C6" w:rsidRDefault="00784AE8">
            <w:pPr>
              <w:spacing w:after="0" w:line="259" w:lineRule="auto"/>
              <w:ind w:left="0" w:right="164" w:firstLine="164"/>
              <w:jc w:val="left"/>
            </w:pPr>
            <w:r>
              <w:rPr>
                <w:rFonts w:ascii="Arial" w:eastAsia="Arial" w:hAnsi="Arial" w:cs="Arial"/>
                <w:color w:val="4D4D4D"/>
                <w:sz w:val="13"/>
              </w:rPr>
              <w:t xml:space="preserve">0.50 </w:t>
            </w:r>
            <w:r>
              <w:rPr>
                <w:rFonts w:ascii="Arial" w:eastAsia="Arial" w:hAnsi="Arial" w:cs="Arial"/>
                <w:sz w:val="16"/>
              </w:rPr>
              <w:t>Nominal</w:t>
            </w:r>
          </w:p>
        </w:tc>
        <w:tc>
          <w:tcPr>
            <w:tcW w:w="1523" w:type="dxa"/>
            <w:tcBorders>
              <w:top w:val="nil"/>
              <w:left w:val="nil"/>
              <w:bottom w:val="nil"/>
              <w:right w:val="nil"/>
            </w:tcBorders>
          </w:tcPr>
          <w:p w14:paraId="39DFACC9" w14:textId="77777777" w:rsidR="009034C6" w:rsidRDefault="00784AE8">
            <w:pPr>
              <w:spacing w:after="0" w:line="259" w:lineRule="auto"/>
              <w:ind w:left="254" w:right="0" w:firstLine="0"/>
              <w:jc w:val="left"/>
            </w:pPr>
            <w:r>
              <w:rPr>
                <w:rFonts w:ascii="Arial" w:eastAsia="Arial" w:hAnsi="Arial" w:cs="Arial"/>
                <w:color w:val="4D4D4D"/>
                <w:sz w:val="13"/>
              </w:rPr>
              <w:t>0.75</w:t>
            </w:r>
          </w:p>
        </w:tc>
        <w:tc>
          <w:tcPr>
            <w:tcW w:w="261" w:type="dxa"/>
            <w:tcBorders>
              <w:top w:val="nil"/>
              <w:left w:val="nil"/>
              <w:bottom w:val="nil"/>
              <w:right w:val="nil"/>
            </w:tcBorders>
          </w:tcPr>
          <w:p w14:paraId="54F46A38" w14:textId="77777777" w:rsidR="009034C6" w:rsidRDefault="00784AE8">
            <w:pPr>
              <w:spacing w:after="0" w:line="259" w:lineRule="auto"/>
              <w:ind w:left="0" w:right="0" w:firstLine="0"/>
            </w:pPr>
            <w:r>
              <w:rPr>
                <w:rFonts w:ascii="Arial" w:eastAsia="Arial" w:hAnsi="Arial" w:cs="Arial"/>
                <w:color w:val="4D4D4D"/>
                <w:sz w:val="13"/>
              </w:rPr>
              <w:t>1.00</w:t>
            </w:r>
          </w:p>
        </w:tc>
      </w:tr>
    </w:tbl>
    <w:p w14:paraId="5334C3E9" w14:textId="229E7C18" w:rsidR="009034C6" w:rsidRDefault="009034C6" w:rsidP="008A05BF">
      <w:pPr>
        <w:tabs>
          <w:tab w:val="center" w:pos="3959"/>
          <w:tab w:val="center" w:pos="4999"/>
          <w:tab w:val="center" w:pos="5837"/>
          <w:tab w:val="center" w:pos="6324"/>
          <w:tab w:val="center" w:pos="6688"/>
        </w:tabs>
        <w:spacing w:after="0" w:line="265" w:lineRule="auto"/>
        <w:ind w:left="0" w:right="0" w:firstLine="0"/>
        <w:jc w:val="left"/>
      </w:pPr>
    </w:p>
    <w:p w14:paraId="4E663BA6" w14:textId="1E27E2C3" w:rsidR="008A05BF" w:rsidRDefault="008A05BF" w:rsidP="008A05BF">
      <w:pPr>
        <w:spacing w:after="318" w:line="236" w:lineRule="auto"/>
        <w:ind w:left="23" w:right="21" w:hanging="10"/>
        <w:jc w:val="center"/>
        <w:rPr>
          <w:sz w:val="16"/>
        </w:rPr>
      </w:pPr>
      <w:r>
        <w:rPr>
          <w:noProof/>
          <w:sz w:val="16"/>
        </w:rPr>
        <w:drawing>
          <wp:inline distT="0" distB="0" distL="0" distR="0" wp14:anchorId="7B331A78" wp14:editId="3D11E830">
            <wp:extent cx="3173234" cy="451537"/>
            <wp:effectExtent l="0" t="0" r="1905" b="571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81166" cy="452666"/>
                    </a:xfrm>
                    <a:prstGeom prst="rect">
                      <a:avLst/>
                    </a:prstGeom>
                  </pic:spPr>
                </pic:pic>
              </a:graphicData>
            </a:graphic>
          </wp:inline>
        </w:drawing>
      </w:r>
    </w:p>
    <w:p w14:paraId="2A4C97F7" w14:textId="2AF32F31" w:rsidR="009034C6" w:rsidRDefault="00784AE8">
      <w:pPr>
        <w:spacing w:after="318" w:line="236" w:lineRule="auto"/>
        <w:ind w:left="23" w:right="21" w:hanging="10"/>
      </w:pPr>
      <w:r>
        <w:rPr>
          <w:sz w:val="16"/>
        </w:rPr>
        <w:t xml:space="preserve">Figure 6: Quantile bias illustrates the difference between the nominal exceedance of </w:t>
      </w:r>
      <w:r w:rsidR="00D264D6">
        <w:rPr>
          <w:sz w:val="16"/>
        </w:rPr>
        <w:t>predicted</w:t>
      </w:r>
      <w:r>
        <w:rPr>
          <w:sz w:val="16"/>
        </w:rPr>
        <w:t xml:space="preserve"> quantiles and the observed frequency of exceedance. If a predictive model is calibrated, quantile bias should be approximately zero </w:t>
      </w:r>
      <w:r w:rsidR="00D264D6">
        <w:rPr>
          <w:sz w:val="16"/>
        </w:rPr>
        <w:t>across</w:t>
      </w:r>
      <w:r>
        <w:rPr>
          <w:sz w:val="16"/>
        </w:rPr>
        <w:t xml:space="preserve"> all probability levels. Here we see that the predictive distributions produced by TBATS are </w:t>
      </w:r>
      <w:r w:rsidR="00D264D6">
        <w:rPr>
          <w:sz w:val="16"/>
        </w:rPr>
        <w:t>under dispersed</w:t>
      </w:r>
      <w:r>
        <w:rPr>
          <w:sz w:val="16"/>
        </w:rPr>
        <w:t xml:space="preserve"> (too narrow/</w:t>
      </w:r>
      <w:r w:rsidR="00D264D6">
        <w:rPr>
          <w:sz w:val="16"/>
        </w:rPr>
        <w:t>overconfident</w:t>
      </w:r>
      <w:r>
        <w:rPr>
          <w:sz w:val="16"/>
        </w:rPr>
        <w:t xml:space="preserve">); those produced by NBI-2, GBM-2 and Benchmark-2 bias and underpredict </w:t>
      </w:r>
      <w:r w:rsidR="00D264D6">
        <w:rPr>
          <w:sz w:val="16"/>
        </w:rPr>
        <w:t>across</w:t>
      </w:r>
      <w:r>
        <w:rPr>
          <w:sz w:val="16"/>
        </w:rPr>
        <w:t xml:space="preserve"> all probability levels; and </w:t>
      </w:r>
      <w:r w:rsidR="00210A5E">
        <w:rPr>
          <w:sz w:val="16"/>
        </w:rPr>
        <w:t>that forecast</w:t>
      </w:r>
      <w:r>
        <w:rPr>
          <w:sz w:val="16"/>
        </w:rPr>
        <w:t xml:space="preserve"> produced by ADAM-</w:t>
      </w:r>
      <w:proofErr w:type="spellStart"/>
      <w:r>
        <w:rPr>
          <w:sz w:val="16"/>
        </w:rPr>
        <w:t>iETSX</w:t>
      </w:r>
      <w:proofErr w:type="spellEnd"/>
      <w:r>
        <w:rPr>
          <w:sz w:val="16"/>
        </w:rPr>
        <w:t>, NOtr-2 and Prophet are well calibrated.</w:t>
      </w:r>
    </w:p>
    <w:p w14:paraId="29E6EF11" w14:textId="1B6E3A4B" w:rsidR="000748A0" w:rsidRDefault="00784AE8" w:rsidP="000748A0">
      <w:pPr>
        <w:spacing w:after="307" w:line="259" w:lineRule="auto"/>
        <w:ind w:left="1355" w:right="0" w:firstLine="0"/>
        <w:jc w:val="left"/>
      </w:pPr>
      <w:r>
        <w:rPr>
          <w:noProof/>
        </w:rPr>
        <w:lastRenderedPageBreak/>
        <w:drawing>
          <wp:inline distT="0" distB="0" distL="0" distR="0" wp14:anchorId="7860A78F" wp14:editId="2F09017A">
            <wp:extent cx="3919728" cy="2179320"/>
            <wp:effectExtent l="0" t="0" r="0" b="0"/>
            <wp:docPr id="66528" name="Picture 66528"/>
            <wp:cNvGraphicFramePr/>
            <a:graphic xmlns:a="http://schemas.openxmlformats.org/drawingml/2006/main">
              <a:graphicData uri="http://schemas.openxmlformats.org/drawingml/2006/picture">
                <pic:pic xmlns:pic="http://schemas.openxmlformats.org/drawingml/2006/picture">
                  <pic:nvPicPr>
                    <pic:cNvPr id="66528" name="Picture 66528"/>
                    <pic:cNvPicPr/>
                  </pic:nvPicPr>
                  <pic:blipFill>
                    <a:blip r:embed="rId26"/>
                    <a:stretch>
                      <a:fillRect/>
                    </a:stretch>
                  </pic:blipFill>
                  <pic:spPr>
                    <a:xfrm>
                      <a:off x="0" y="0"/>
                      <a:ext cx="3919728" cy="2179320"/>
                    </a:xfrm>
                    <a:prstGeom prst="rect">
                      <a:avLst/>
                    </a:prstGeom>
                  </pic:spPr>
                </pic:pic>
              </a:graphicData>
            </a:graphic>
          </wp:inline>
        </w:drawing>
      </w:r>
    </w:p>
    <w:p w14:paraId="57742473" w14:textId="35301351" w:rsidR="008A05BF" w:rsidRDefault="008A05BF" w:rsidP="008A05BF">
      <w:pPr>
        <w:spacing w:after="318" w:line="236" w:lineRule="auto"/>
        <w:ind w:left="23" w:right="21" w:hanging="10"/>
        <w:jc w:val="center"/>
        <w:rPr>
          <w:rFonts w:ascii="Arial" w:eastAsia="Arial" w:hAnsi="Arial" w:cs="Arial"/>
          <w:b/>
          <w:sz w:val="16"/>
        </w:rPr>
      </w:pPr>
      <w:r>
        <w:rPr>
          <w:rFonts w:ascii="Arial" w:eastAsia="Arial" w:hAnsi="Arial" w:cs="Arial"/>
          <w:b/>
          <w:noProof/>
          <w:sz w:val="16"/>
        </w:rPr>
        <w:drawing>
          <wp:inline distT="0" distB="0" distL="0" distR="0" wp14:anchorId="1061D0B6" wp14:editId="0887D107">
            <wp:extent cx="3238293" cy="460795"/>
            <wp:effectExtent l="0" t="0" r="635"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43020" cy="461468"/>
                    </a:xfrm>
                    <a:prstGeom prst="rect">
                      <a:avLst/>
                    </a:prstGeom>
                  </pic:spPr>
                </pic:pic>
              </a:graphicData>
            </a:graphic>
          </wp:inline>
        </w:drawing>
      </w:r>
    </w:p>
    <w:p w14:paraId="11669898" w14:textId="62FE78FB" w:rsidR="009034C6" w:rsidRDefault="00784AE8">
      <w:pPr>
        <w:spacing w:after="318" w:line="236" w:lineRule="auto"/>
        <w:ind w:left="23" w:right="21" w:hanging="10"/>
      </w:pPr>
      <w:r>
        <w:rPr>
          <w:sz w:val="16"/>
        </w:rPr>
        <w:t xml:space="preserve">Figure 7: RMSE values over the forecast horizon for forecasts issues at midnight. Attendance during the morning is more challenging to </w:t>
      </w:r>
      <w:r w:rsidR="00210A5E">
        <w:rPr>
          <w:sz w:val="16"/>
        </w:rPr>
        <w:t>predict</w:t>
      </w:r>
      <w:r>
        <w:rPr>
          <w:sz w:val="16"/>
        </w:rPr>
        <w:t xml:space="preserve"> resulting in greater RMSE during these hours for all models.</w:t>
      </w:r>
    </w:p>
    <w:p w14:paraId="27F8AE33" w14:textId="77777777" w:rsidR="009034C6" w:rsidRDefault="00784AE8">
      <w:pPr>
        <w:spacing w:after="334" w:line="226" w:lineRule="auto"/>
        <w:ind w:left="13" w:right="0" w:firstLine="296"/>
        <w:jc w:val="left"/>
      </w:pPr>
      <w:r>
        <w:t>Figure 7 reports the RMSE for each forecast horizon. It illustrates the times of day that are harder to predict – morning pick-up and afternoon peak. We can see that some models perform much better than others on specific forecast horizons. For example, Benchmark does an excellent job in predicting 1 - 5 steps ahead ED arrivals and, in general, doing well in forecasting arrivals in the night. In fact, the Benchmark model performs consistently well in terms of the conditional mean, not making as huge mistakes as, for example, Prophet, TBATS and GBM do for some lead times.</w:t>
      </w:r>
    </w:p>
    <w:p w14:paraId="0A3FB019" w14:textId="77777777" w:rsidR="009034C6" w:rsidRDefault="00784AE8">
      <w:pPr>
        <w:spacing w:after="0" w:line="259" w:lineRule="auto"/>
        <w:ind w:left="10" w:right="12" w:hanging="10"/>
        <w:jc w:val="center"/>
      </w:pPr>
      <w:r>
        <w:rPr>
          <w:sz w:val="16"/>
        </w:rPr>
        <w:t>Table 2: Summary of studies in hourly emergency care forecasting</w:t>
      </w:r>
    </w:p>
    <w:tbl>
      <w:tblPr>
        <w:tblStyle w:val="TableGrid"/>
        <w:tblW w:w="6555" w:type="dxa"/>
        <w:tblInd w:w="1168" w:type="dxa"/>
        <w:tblCellMar>
          <w:top w:w="30" w:type="dxa"/>
          <w:right w:w="115" w:type="dxa"/>
        </w:tblCellMar>
        <w:tblLook w:val="04A0" w:firstRow="1" w:lastRow="0" w:firstColumn="1" w:lastColumn="0" w:noHBand="0" w:noVBand="1"/>
      </w:tblPr>
      <w:tblGrid>
        <w:gridCol w:w="1879"/>
        <w:gridCol w:w="1338"/>
        <w:gridCol w:w="935"/>
        <w:gridCol w:w="1028"/>
        <w:gridCol w:w="1375"/>
      </w:tblGrid>
      <w:tr w:rsidR="009034C6" w14:paraId="23CF3CA0" w14:textId="77777777">
        <w:trPr>
          <w:trHeight w:val="322"/>
        </w:trPr>
        <w:tc>
          <w:tcPr>
            <w:tcW w:w="1879" w:type="dxa"/>
            <w:tcBorders>
              <w:top w:val="single" w:sz="6" w:space="0" w:color="000000"/>
              <w:left w:val="nil"/>
              <w:bottom w:val="single" w:sz="4" w:space="0" w:color="000000"/>
              <w:right w:val="nil"/>
            </w:tcBorders>
          </w:tcPr>
          <w:p w14:paraId="48537331" w14:textId="77777777" w:rsidR="009034C6" w:rsidRDefault="00784AE8">
            <w:pPr>
              <w:spacing w:after="0" w:line="259" w:lineRule="auto"/>
              <w:ind w:left="120" w:right="0" w:firstLine="0"/>
              <w:jc w:val="left"/>
            </w:pPr>
            <w:r>
              <w:rPr>
                <w:sz w:val="18"/>
              </w:rPr>
              <w:t>Method</w:t>
            </w:r>
          </w:p>
        </w:tc>
        <w:tc>
          <w:tcPr>
            <w:tcW w:w="1338" w:type="dxa"/>
            <w:tcBorders>
              <w:top w:val="single" w:sz="6" w:space="0" w:color="000000"/>
              <w:left w:val="nil"/>
              <w:bottom w:val="single" w:sz="4" w:space="0" w:color="000000"/>
              <w:right w:val="nil"/>
            </w:tcBorders>
          </w:tcPr>
          <w:p w14:paraId="4476FCE9" w14:textId="77777777" w:rsidR="009034C6" w:rsidRDefault="00784AE8">
            <w:pPr>
              <w:spacing w:after="0" w:line="259" w:lineRule="auto"/>
              <w:ind w:left="0" w:right="0" w:firstLine="0"/>
              <w:jc w:val="left"/>
            </w:pPr>
            <w:r>
              <w:rPr>
                <w:sz w:val="18"/>
              </w:rPr>
              <w:t>Quantile Bias</w:t>
            </w:r>
          </w:p>
        </w:tc>
        <w:tc>
          <w:tcPr>
            <w:tcW w:w="935" w:type="dxa"/>
            <w:tcBorders>
              <w:top w:val="single" w:sz="6" w:space="0" w:color="000000"/>
              <w:left w:val="nil"/>
              <w:bottom w:val="single" w:sz="4" w:space="0" w:color="000000"/>
              <w:right w:val="nil"/>
            </w:tcBorders>
          </w:tcPr>
          <w:p w14:paraId="23D155E1" w14:textId="77777777" w:rsidR="009034C6" w:rsidRDefault="00784AE8">
            <w:pPr>
              <w:spacing w:after="0" w:line="259" w:lineRule="auto"/>
              <w:ind w:left="126" w:right="0" w:firstLine="0"/>
              <w:jc w:val="left"/>
            </w:pPr>
            <w:r>
              <w:rPr>
                <w:sz w:val="18"/>
              </w:rPr>
              <w:t>Pinball</w:t>
            </w:r>
          </w:p>
        </w:tc>
        <w:tc>
          <w:tcPr>
            <w:tcW w:w="1028" w:type="dxa"/>
            <w:tcBorders>
              <w:top w:val="single" w:sz="6" w:space="0" w:color="000000"/>
              <w:left w:val="nil"/>
              <w:bottom w:val="single" w:sz="4" w:space="0" w:color="000000"/>
              <w:right w:val="nil"/>
            </w:tcBorders>
          </w:tcPr>
          <w:p w14:paraId="30D86D69" w14:textId="77777777" w:rsidR="009034C6" w:rsidRDefault="00784AE8">
            <w:pPr>
              <w:spacing w:after="0" w:line="259" w:lineRule="auto"/>
              <w:ind w:left="256" w:right="0" w:firstLine="0"/>
              <w:jc w:val="left"/>
            </w:pPr>
            <w:r>
              <w:rPr>
                <w:sz w:val="18"/>
              </w:rPr>
              <w:t>RMSE</w:t>
            </w:r>
          </w:p>
        </w:tc>
        <w:tc>
          <w:tcPr>
            <w:tcW w:w="1375" w:type="dxa"/>
            <w:tcBorders>
              <w:top w:val="single" w:sz="6" w:space="0" w:color="000000"/>
              <w:left w:val="nil"/>
              <w:bottom w:val="single" w:sz="4" w:space="0" w:color="000000"/>
              <w:right w:val="nil"/>
            </w:tcBorders>
          </w:tcPr>
          <w:p w14:paraId="79EA125C" w14:textId="77777777" w:rsidR="009034C6" w:rsidRDefault="00784AE8">
            <w:pPr>
              <w:spacing w:after="0" w:line="259" w:lineRule="auto"/>
              <w:ind w:left="0" w:right="0" w:firstLine="0"/>
              <w:jc w:val="left"/>
            </w:pPr>
            <w:r>
              <w:rPr>
                <w:sz w:val="18"/>
              </w:rPr>
              <w:t>Time (minutes)</w:t>
            </w:r>
          </w:p>
        </w:tc>
      </w:tr>
      <w:tr w:rsidR="009034C6" w14:paraId="7741C373" w14:textId="77777777">
        <w:trPr>
          <w:trHeight w:val="279"/>
        </w:trPr>
        <w:tc>
          <w:tcPr>
            <w:tcW w:w="1879" w:type="dxa"/>
            <w:tcBorders>
              <w:top w:val="single" w:sz="4" w:space="0" w:color="000000"/>
              <w:left w:val="nil"/>
              <w:bottom w:val="nil"/>
              <w:right w:val="nil"/>
            </w:tcBorders>
          </w:tcPr>
          <w:p w14:paraId="60557A80" w14:textId="77777777" w:rsidR="009034C6" w:rsidRDefault="00784AE8">
            <w:pPr>
              <w:spacing w:after="0" w:line="259" w:lineRule="auto"/>
              <w:ind w:left="120" w:right="0" w:firstLine="0"/>
              <w:jc w:val="left"/>
            </w:pPr>
            <w:r>
              <w:rPr>
                <w:sz w:val="18"/>
              </w:rPr>
              <w:t>NOtr-1</w:t>
            </w:r>
          </w:p>
        </w:tc>
        <w:tc>
          <w:tcPr>
            <w:tcW w:w="1338" w:type="dxa"/>
            <w:tcBorders>
              <w:top w:val="single" w:sz="4" w:space="0" w:color="000000"/>
              <w:left w:val="nil"/>
              <w:bottom w:val="nil"/>
              <w:right w:val="nil"/>
            </w:tcBorders>
          </w:tcPr>
          <w:p w14:paraId="4A495911" w14:textId="77777777" w:rsidR="009034C6" w:rsidRDefault="00784AE8">
            <w:pPr>
              <w:spacing w:after="0" w:line="259" w:lineRule="auto"/>
              <w:ind w:left="187" w:right="0" w:firstLine="0"/>
              <w:jc w:val="center"/>
            </w:pPr>
            <w:r>
              <w:rPr>
                <w:sz w:val="18"/>
              </w:rPr>
              <w:t>0.0098967</w:t>
            </w:r>
          </w:p>
        </w:tc>
        <w:tc>
          <w:tcPr>
            <w:tcW w:w="935" w:type="dxa"/>
            <w:tcBorders>
              <w:top w:val="single" w:sz="4" w:space="0" w:color="000000"/>
              <w:left w:val="nil"/>
              <w:bottom w:val="nil"/>
              <w:right w:val="nil"/>
            </w:tcBorders>
          </w:tcPr>
          <w:p w14:paraId="7AEAAF79" w14:textId="77777777" w:rsidR="009034C6" w:rsidRDefault="00784AE8">
            <w:pPr>
              <w:spacing w:after="0" w:line="259" w:lineRule="auto"/>
              <w:ind w:left="0" w:right="0" w:firstLine="0"/>
              <w:jc w:val="left"/>
            </w:pPr>
            <w:r>
              <w:rPr>
                <w:sz w:val="18"/>
              </w:rPr>
              <w:t>1.222583</w:t>
            </w:r>
          </w:p>
        </w:tc>
        <w:tc>
          <w:tcPr>
            <w:tcW w:w="1028" w:type="dxa"/>
            <w:tcBorders>
              <w:top w:val="single" w:sz="4" w:space="0" w:color="000000"/>
              <w:left w:val="nil"/>
              <w:bottom w:val="nil"/>
              <w:right w:val="nil"/>
            </w:tcBorders>
          </w:tcPr>
          <w:p w14:paraId="185AAE0B" w14:textId="77777777" w:rsidR="009034C6" w:rsidRDefault="00784AE8">
            <w:pPr>
              <w:spacing w:after="0" w:line="259" w:lineRule="auto"/>
              <w:ind w:left="0" w:right="0" w:firstLine="0"/>
              <w:jc w:val="left"/>
            </w:pPr>
            <w:r>
              <w:rPr>
                <w:sz w:val="18"/>
              </w:rPr>
              <w:t>0.2675957</w:t>
            </w:r>
          </w:p>
        </w:tc>
        <w:tc>
          <w:tcPr>
            <w:tcW w:w="1375" w:type="dxa"/>
            <w:tcBorders>
              <w:top w:val="single" w:sz="4" w:space="0" w:color="000000"/>
              <w:left w:val="nil"/>
              <w:bottom w:val="nil"/>
              <w:right w:val="nil"/>
            </w:tcBorders>
          </w:tcPr>
          <w:p w14:paraId="69D3A3DA" w14:textId="77777777" w:rsidR="009034C6" w:rsidRDefault="00784AE8">
            <w:pPr>
              <w:spacing w:after="0" w:line="259" w:lineRule="auto"/>
              <w:ind w:left="278" w:right="0" w:firstLine="0"/>
              <w:jc w:val="center"/>
            </w:pPr>
            <w:r>
              <w:rPr>
                <w:sz w:val="18"/>
              </w:rPr>
              <w:t>451.6620471</w:t>
            </w:r>
          </w:p>
        </w:tc>
      </w:tr>
      <w:tr w:rsidR="009034C6" w14:paraId="3659DBC9" w14:textId="77777777">
        <w:trPr>
          <w:trHeight w:val="219"/>
        </w:trPr>
        <w:tc>
          <w:tcPr>
            <w:tcW w:w="1879" w:type="dxa"/>
            <w:tcBorders>
              <w:top w:val="nil"/>
              <w:left w:val="nil"/>
              <w:bottom w:val="nil"/>
              <w:right w:val="nil"/>
            </w:tcBorders>
          </w:tcPr>
          <w:p w14:paraId="30F40A24" w14:textId="77777777" w:rsidR="009034C6" w:rsidRDefault="00784AE8">
            <w:pPr>
              <w:spacing w:after="0" w:line="259" w:lineRule="auto"/>
              <w:ind w:left="120" w:right="0" w:firstLine="0"/>
              <w:jc w:val="left"/>
            </w:pPr>
            <w:r>
              <w:rPr>
                <w:sz w:val="18"/>
              </w:rPr>
              <w:t>ADAM-</w:t>
            </w:r>
            <w:proofErr w:type="spellStart"/>
            <w:r>
              <w:rPr>
                <w:sz w:val="18"/>
              </w:rPr>
              <w:t>iETSX</w:t>
            </w:r>
            <w:proofErr w:type="spellEnd"/>
          </w:p>
        </w:tc>
        <w:tc>
          <w:tcPr>
            <w:tcW w:w="1338" w:type="dxa"/>
            <w:tcBorders>
              <w:top w:val="nil"/>
              <w:left w:val="nil"/>
              <w:bottom w:val="nil"/>
              <w:right w:val="nil"/>
            </w:tcBorders>
          </w:tcPr>
          <w:p w14:paraId="1D35C831" w14:textId="77777777" w:rsidR="009034C6" w:rsidRDefault="00784AE8">
            <w:pPr>
              <w:spacing w:after="0" w:line="259" w:lineRule="auto"/>
              <w:ind w:left="187" w:right="0" w:firstLine="0"/>
              <w:jc w:val="center"/>
            </w:pPr>
            <w:r>
              <w:rPr>
                <w:sz w:val="18"/>
              </w:rPr>
              <w:t>0.0104673</w:t>
            </w:r>
          </w:p>
        </w:tc>
        <w:tc>
          <w:tcPr>
            <w:tcW w:w="935" w:type="dxa"/>
            <w:tcBorders>
              <w:top w:val="nil"/>
              <w:left w:val="nil"/>
              <w:bottom w:val="nil"/>
              <w:right w:val="nil"/>
            </w:tcBorders>
          </w:tcPr>
          <w:p w14:paraId="334DD3B9" w14:textId="77777777" w:rsidR="009034C6" w:rsidRDefault="00784AE8">
            <w:pPr>
              <w:spacing w:after="0" w:line="259" w:lineRule="auto"/>
              <w:ind w:left="0" w:right="0" w:firstLine="0"/>
              <w:jc w:val="left"/>
            </w:pPr>
            <w:r>
              <w:rPr>
                <w:sz w:val="18"/>
              </w:rPr>
              <w:t>1.417260</w:t>
            </w:r>
          </w:p>
        </w:tc>
        <w:tc>
          <w:tcPr>
            <w:tcW w:w="1028" w:type="dxa"/>
            <w:tcBorders>
              <w:top w:val="nil"/>
              <w:left w:val="nil"/>
              <w:bottom w:val="nil"/>
              <w:right w:val="nil"/>
            </w:tcBorders>
          </w:tcPr>
          <w:p w14:paraId="4BC02477" w14:textId="77777777" w:rsidR="009034C6" w:rsidRDefault="00784AE8">
            <w:pPr>
              <w:spacing w:after="0" w:line="259" w:lineRule="auto"/>
              <w:ind w:left="0" w:right="0" w:firstLine="0"/>
              <w:jc w:val="left"/>
            </w:pPr>
            <w:r>
              <w:rPr>
                <w:sz w:val="18"/>
              </w:rPr>
              <w:t>0.0896228</w:t>
            </w:r>
          </w:p>
        </w:tc>
        <w:tc>
          <w:tcPr>
            <w:tcW w:w="1375" w:type="dxa"/>
            <w:tcBorders>
              <w:top w:val="nil"/>
              <w:left w:val="nil"/>
              <w:bottom w:val="nil"/>
              <w:right w:val="nil"/>
            </w:tcBorders>
          </w:tcPr>
          <w:p w14:paraId="2543D547" w14:textId="77777777" w:rsidR="009034C6" w:rsidRDefault="00784AE8">
            <w:pPr>
              <w:spacing w:after="0" w:line="259" w:lineRule="auto"/>
              <w:ind w:left="375" w:right="0" w:firstLine="0"/>
              <w:jc w:val="left"/>
            </w:pPr>
            <w:r>
              <w:rPr>
                <w:sz w:val="18"/>
              </w:rPr>
              <w:t>92.9348605</w:t>
            </w:r>
          </w:p>
        </w:tc>
      </w:tr>
      <w:tr w:rsidR="009034C6" w14:paraId="7C92E032" w14:textId="77777777">
        <w:trPr>
          <w:trHeight w:val="219"/>
        </w:trPr>
        <w:tc>
          <w:tcPr>
            <w:tcW w:w="1879" w:type="dxa"/>
            <w:tcBorders>
              <w:top w:val="nil"/>
              <w:left w:val="nil"/>
              <w:bottom w:val="nil"/>
              <w:right w:val="nil"/>
            </w:tcBorders>
          </w:tcPr>
          <w:p w14:paraId="30518370" w14:textId="77777777" w:rsidR="009034C6" w:rsidRDefault="00784AE8">
            <w:pPr>
              <w:spacing w:after="0" w:line="259" w:lineRule="auto"/>
              <w:ind w:left="120" w:right="0" w:firstLine="0"/>
              <w:jc w:val="left"/>
            </w:pPr>
            <w:r>
              <w:rPr>
                <w:sz w:val="18"/>
              </w:rPr>
              <w:t>NOtr-2</w:t>
            </w:r>
          </w:p>
        </w:tc>
        <w:tc>
          <w:tcPr>
            <w:tcW w:w="1338" w:type="dxa"/>
            <w:tcBorders>
              <w:top w:val="nil"/>
              <w:left w:val="nil"/>
              <w:bottom w:val="nil"/>
              <w:right w:val="nil"/>
            </w:tcBorders>
          </w:tcPr>
          <w:p w14:paraId="422C3C39" w14:textId="77777777" w:rsidR="009034C6" w:rsidRDefault="00784AE8">
            <w:pPr>
              <w:spacing w:after="0" w:line="259" w:lineRule="auto"/>
              <w:ind w:left="187" w:right="0" w:firstLine="0"/>
              <w:jc w:val="center"/>
            </w:pPr>
            <w:r>
              <w:rPr>
                <w:sz w:val="18"/>
              </w:rPr>
              <w:t>0.0118522</w:t>
            </w:r>
          </w:p>
        </w:tc>
        <w:tc>
          <w:tcPr>
            <w:tcW w:w="935" w:type="dxa"/>
            <w:tcBorders>
              <w:top w:val="nil"/>
              <w:left w:val="nil"/>
              <w:bottom w:val="nil"/>
              <w:right w:val="nil"/>
            </w:tcBorders>
          </w:tcPr>
          <w:p w14:paraId="360F3D0F" w14:textId="77777777" w:rsidR="009034C6" w:rsidRDefault="00784AE8">
            <w:pPr>
              <w:spacing w:after="0" w:line="259" w:lineRule="auto"/>
              <w:ind w:left="0" w:right="0" w:firstLine="0"/>
              <w:jc w:val="left"/>
            </w:pPr>
            <w:r>
              <w:rPr>
                <w:sz w:val="18"/>
              </w:rPr>
              <w:t>1.208561</w:t>
            </w:r>
          </w:p>
        </w:tc>
        <w:tc>
          <w:tcPr>
            <w:tcW w:w="1028" w:type="dxa"/>
            <w:tcBorders>
              <w:top w:val="nil"/>
              <w:left w:val="nil"/>
              <w:bottom w:val="nil"/>
              <w:right w:val="nil"/>
            </w:tcBorders>
          </w:tcPr>
          <w:p w14:paraId="01A646F0" w14:textId="77777777" w:rsidR="009034C6" w:rsidRDefault="00784AE8">
            <w:pPr>
              <w:spacing w:after="0" w:line="259" w:lineRule="auto"/>
              <w:ind w:left="0" w:right="0" w:firstLine="0"/>
              <w:jc w:val="left"/>
            </w:pPr>
            <w:r>
              <w:rPr>
                <w:sz w:val="18"/>
              </w:rPr>
              <w:t>0.2675957</w:t>
            </w:r>
          </w:p>
        </w:tc>
        <w:tc>
          <w:tcPr>
            <w:tcW w:w="1375" w:type="dxa"/>
            <w:tcBorders>
              <w:top w:val="nil"/>
              <w:left w:val="nil"/>
              <w:bottom w:val="nil"/>
              <w:right w:val="nil"/>
            </w:tcBorders>
          </w:tcPr>
          <w:p w14:paraId="62FC1A89" w14:textId="77777777" w:rsidR="009034C6" w:rsidRDefault="00784AE8">
            <w:pPr>
              <w:spacing w:after="0" w:line="259" w:lineRule="auto"/>
              <w:ind w:left="375" w:right="0" w:firstLine="0"/>
              <w:jc w:val="left"/>
            </w:pPr>
            <w:r>
              <w:rPr>
                <w:sz w:val="18"/>
              </w:rPr>
              <w:t>86.5895462</w:t>
            </w:r>
          </w:p>
        </w:tc>
      </w:tr>
      <w:tr w:rsidR="009034C6" w14:paraId="7381607B" w14:textId="77777777">
        <w:trPr>
          <w:trHeight w:val="219"/>
        </w:trPr>
        <w:tc>
          <w:tcPr>
            <w:tcW w:w="1879" w:type="dxa"/>
            <w:tcBorders>
              <w:top w:val="nil"/>
              <w:left w:val="nil"/>
              <w:bottom w:val="nil"/>
              <w:right w:val="nil"/>
            </w:tcBorders>
          </w:tcPr>
          <w:p w14:paraId="29AFCF15" w14:textId="77777777" w:rsidR="009034C6" w:rsidRDefault="00784AE8">
            <w:pPr>
              <w:spacing w:after="0" w:line="259" w:lineRule="auto"/>
              <w:ind w:left="120" w:right="0" w:firstLine="0"/>
              <w:jc w:val="left"/>
            </w:pPr>
            <w:r>
              <w:rPr>
                <w:sz w:val="18"/>
              </w:rPr>
              <w:t>Ttr-2</w:t>
            </w:r>
          </w:p>
        </w:tc>
        <w:tc>
          <w:tcPr>
            <w:tcW w:w="1338" w:type="dxa"/>
            <w:tcBorders>
              <w:top w:val="nil"/>
              <w:left w:val="nil"/>
              <w:bottom w:val="nil"/>
              <w:right w:val="nil"/>
            </w:tcBorders>
          </w:tcPr>
          <w:p w14:paraId="58A82847" w14:textId="77777777" w:rsidR="009034C6" w:rsidRDefault="00784AE8">
            <w:pPr>
              <w:spacing w:after="0" w:line="259" w:lineRule="auto"/>
              <w:ind w:left="187" w:right="0" w:firstLine="0"/>
              <w:jc w:val="center"/>
            </w:pPr>
            <w:r>
              <w:rPr>
                <w:sz w:val="18"/>
              </w:rPr>
              <w:t>0.0140221</w:t>
            </w:r>
          </w:p>
        </w:tc>
        <w:tc>
          <w:tcPr>
            <w:tcW w:w="935" w:type="dxa"/>
            <w:tcBorders>
              <w:top w:val="nil"/>
              <w:left w:val="nil"/>
              <w:bottom w:val="nil"/>
              <w:right w:val="nil"/>
            </w:tcBorders>
          </w:tcPr>
          <w:p w14:paraId="461E08DB" w14:textId="77777777" w:rsidR="009034C6" w:rsidRDefault="00784AE8">
            <w:pPr>
              <w:spacing w:after="0" w:line="259" w:lineRule="auto"/>
              <w:ind w:left="0" w:right="0" w:firstLine="0"/>
              <w:jc w:val="left"/>
            </w:pPr>
            <w:r>
              <w:rPr>
                <w:sz w:val="18"/>
              </w:rPr>
              <w:t>1.210108</w:t>
            </w:r>
          </w:p>
        </w:tc>
        <w:tc>
          <w:tcPr>
            <w:tcW w:w="1028" w:type="dxa"/>
            <w:tcBorders>
              <w:top w:val="nil"/>
              <w:left w:val="nil"/>
              <w:bottom w:val="nil"/>
              <w:right w:val="nil"/>
            </w:tcBorders>
          </w:tcPr>
          <w:p w14:paraId="094683F7" w14:textId="77777777" w:rsidR="009034C6" w:rsidRDefault="00784AE8">
            <w:pPr>
              <w:spacing w:after="0" w:line="259" w:lineRule="auto"/>
              <w:ind w:left="0" w:right="0" w:firstLine="0"/>
              <w:jc w:val="left"/>
            </w:pPr>
            <w:r>
              <w:rPr>
                <w:sz w:val="18"/>
              </w:rPr>
              <w:t>0.3324146</w:t>
            </w:r>
          </w:p>
        </w:tc>
        <w:tc>
          <w:tcPr>
            <w:tcW w:w="1375" w:type="dxa"/>
            <w:tcBorders>
              <w:top w:val="nil"/>
              <w:left w:val="nil"/>
              <w:bottom w:val="nil"/>
              <w:right w:val="nil"/>
            </w:tcBorders>
          </w:tcPr>
          <w:p w14:paraId="71415C5D" w14:textId="77777777" w:rsidR="009034C6" w:rsidRDefault="00784AE8">
            <w:pPr>
              <w:spacing w:after="0" w:line="259" w:lineRule="auto"/>
              <w:ind w:left="278" w:right="0" w:firstLine="0"/>
              <w:jc w:val="center"/>
            </w:pPr>
            <w:r>
              <w:rPr>
                <w:sz w:val="18"/>
              </w:rPr>
              <w:t>956.5532849</w:t>
            </w:r>
          </w:p>
        </w:tc>
      </w:tr>
      <w:tr w:rsidR="009034C6" w14:paraId="79148B46" w14:textId="77777777">
        <w:trPr>
          <w:trHeight w:val="219"/>
        </w:trPr>
        <w:tc>
          <w:tcPr>
            <w:tcW w:w="1879" w:type="dxa"/>
            <w:tcBorders>
              <w:top w:val="nil"/>
              <w:left w:val="nil"/>
              <w:bottom w:val="nil"/>
              <w:right w:val="nil"/>
            </w:tcBorders>
          </w:tcPr>
          <w:p w14:paraId="455F42E6" w14:textId="77777777" w:rsidR="009034C6" w:rsidRDefault="00784AE8">
            <w:pPr>
              <w:spacing w:after="0" w:line="259" w:lineRule="auto"/>
              <w:ind w:left="120" w:right="0" w:firstLine="0"/>
              <w:jc w:val="left"/>
            </w:pPr>
            <w:r>
              <w:rPr>
                <w:sz w:val="18"/>
              </w:rPr>
              <w:t>Prophet</w:t>
            </w:r>
          </w:p>
        </w:tc>
        <w:tc>
          <w:tcPr>
            <w:tcW w:w="1338" w:type="dxa"/>
            <w:tcBorders>
              <w:top w:val="nil"/>
              <w:left w:val="nil"/>
              <w:bottom w:val="nil"/>
              <w:right w:val="nil"/>
            </w:tcBorders>
          </w:tcPr>
          <w:p w14:paraId="729640E7" w14:textId="77777777" w:rsidR="009034C6" w:rsidRDefault="00784AE8">
            <w:pPr>
              <w:spacing w:after="0" w:line="259" w:lineRule="auto"/>
              <w:ind w:left="187" w:right="0" w:firstLine="0"/>
              <w:jc w:val="center"/>
            </w:pPr>
            <w:r>
              <w:rPr>
                <w:sz w:val="18"/>
              </w:rPr>
              <w:t>0.0193799</w:t>
            </w:r>
          </w:p>
        </w:tc>
        <w:tc>
          <w:tcPr>
            <w:tcW w:w="935" w:type="dxa"/>
            <w:tcBorders>
              <w:top w:val="nil"/>
              <w:left w:val="nil"/>
              <w:bottom w:val="nil"/>
              <w:right w:val="nil"/>
            </w:tcBorders>
          </w:tcPr>
          <w:p w14:paraId="0944C579" w14:textId="77777777" w:rsidR="009034C6" w:rsidRDefault="00784AE8">
            <w:pPr>
              <w:spacing w:after="0" w:line="259" w:lineRule="auto"/>
              <w:ind w:left="0" w:right="0" w:firstLine="0"/>
              <w:jc w:val="left"/>
            </w:pPr>
            <w:r>
              <w:rPr>
                <w:sz w:val="18"/>
              </w:rPr>
              <w:t>1.447037</w:t>
            </w:r>
          </w:p>
        </w:tc>
        <w:tc>
          <w:tcPr>
            <w:tcW w:w="1028" w:type="dxa"/>
            <w:tcBorders>
              <w:top w:val="nil"/>
              <w:left w:val="nil"/>
              <w:bottom w:val="nil"/>
              <w:right w:val="nil"/>
            </w:tcBorders>
          </w:tcPr>
          <w:p w14:paraId="2E5867A2" w14:textId="77777777" w:rsidR="009034C6" w:rsidRDefault="00784AE8">
            <w:pPr>
              <w:spacing w:after="0" w:line="259" w:lineRule="auto"/>
              <w:ind w:left="0" w:right="0" w:firstLine="0"/>
              <w:jc w:val="left"/>
            </w:pPr>
            <w:r>
              <w:rPr>
                <w:sz w:val="18"/>
              </w:rPr>
              <w:t>0.2955460</w:t>
            </w:r>
          </w:p>
        </w:tc>
        <w:tc>
          <w:tcPr>
            <w:tcW w:w="1375" w:type="dxa"/>
            <w:tcBorders>
              <w:top w:val="nil"/>
              <w:left w:val="nil"/>
              <w:bottom w:val="nil"/>
              <w:right w:val="nil"/>
            </w:tcBorders>
          </w:tcPr>
          <w:p w14:paraId="108C7FEE" w14:textId="77777777" w:rsidR="009034C6" w:rsidRDefault="00784AE8">
            <w:pPr>
              <w:spacing w:after="0" w:line="259" w:lineRule="auto"/>
              <w:ind w:left="375" w:right="0" w:firstLine="0"/>
              <w:jc w:val="left"/>
            </w:pPr>
            <w:r>
              <w:rPr>
                <w:sz w:val="18"/>
              </w:rPr>
              <w:t>20.6755021</w:t>
            </w:r>
          </w:p>
        </w:tc>
      </w:tr>
      <w:tr w:rsidR="009034C6" w14:paraId="3D763500" w14:textId="77777777">
        <w:trPr>
          <w:trHeight w:val="219"/>
        </w:trPr>
        <w:tc>
          <w:tcPr>
            <w:tcW w:w="1879" w:type="dxa"/>
            <w:tcBorders>
              <w:top w:val="nil"/>
              <w:left w:val="nil"/>
              <w:bottom w:val="nil"/>
              <w:right w:val="nil"/>
            </w:tcBorders>
          </w:tcPr>
          <w:p w14:paraId="242FF704" w14:textId="77777777" w:rsidR="009034C6" w:rsidRDefault="00784AE8">
            <w:pPr>
              <w:spacing w:after="0" w:line="259" w:lineRule="auto"/>
              <w:ind w:left="120" w:right="0" w:firstLine="0"/>
              <w:jc w:val="left"/>
            </w:pPr>
            <w:r>
              <w:rPr>
                <w:sz w:val="18"/>
              </w:rPr>
              <w:t>ETS</w:t>
            </w:r>
          </w:p>
        </w:tc>
        <w:tc>
          <w:tcPr>
            <w:tcW w:w="1338" w:type="dxa"/>
            <w:tcBorders>
              <w:top w:val="nil"/>
              <w:left w:val="nil"/>
              <w:bottom w:val="nil"/>
              <w:right w:val="nil"/>
            </w:tcBorders>
          </w:tcPr>
          <w:p w14:paraId="5F240E39" w14:textId="77777777" w:rsidR="009034C6" w:rsidRDefault="00784AE8">
            <w:pPr>
              <w:spacing w:after="0" w:line="259" w:lineRule="auto"/>
              <w:ind w:left="187" w:right="0" w:firstLine="0"/>
              <w:jc w:val="center"/>
            </w:pPr>
            <w:r>
              <w:rPr>
                <w:sz w:val="18"/>
              </w:rPr>
              <w:t>0.0194389</w:t>
            </w:r>
          </w:p>
        </w:tc>
        <w:tc>
          <w:tcPr>
            <w:tcW w:w="935" w:type="dxa"/>
            <w:tcBorders>
              <w:top w:val="nil"/>
              <w:left w:val="nil"/>
              <w:bottom w:val="nil"/>
              <w:right w:val="nil"/>
            </w:tcBorders>
          </w:tcPr>
          <w:p w14:paraId="05427C46" w14:textId="77777777" w:rsidR="009034C6" w:rsidRDefault="00784AE8">
            <w:pPr>
              <w:spacing w:after="0" w:line="259" w:lineRule="auto"/>
              <w:ind w:left="0" w:right="0" w:firstLine="0"/>
              <w:jc w:val="left"/>
            </w:pPr>
            <w:r>
              <w:rPr>
                <w:sz w:val="18"/>
              </w:rPr>
              <w:t>1.434862</w:t>
            </w:r>
          </w:p>
        </w:tc>
        <w:tc>
          <w:tcPr>
            <w:tcW w:w="1028" w:type="dxa"/>
            <w:tcBorders>
              <w:top w:val="nil"/>
              <w:left w:val="nil"/>
              <w:bottom w:val="nil"/>
              <w:right w:val="nil"/>
            </w:tcBorders>
          </w:tcPr>
          <w:p w14:paraId="62A63B8E" w14:textId="77777777" w:rsidR="009034C6" w:rsidRDefault="00784AE8">
            <w:pPr>
              <w:spacing w:after="0" w:line="259" w:lineRule="auto"/>
              <w:ind w:left="0" w:right="0" w:firstLine="0"/>
              <w:jc w:val="left"/>
            </w:pPr>
            <w:r>
              <w:rPr>
                <w:sz w:val="18"/>
              </w:rPr>
              <w:t>0.0121247</w:t>
            </w:r>
          </w:p>
        </w:tc>
        <w:tc>
          <w:tcPr>
            <w:tcW w:w="1375" w:type="dxa"/>
            <w:tcBorders>
              <w:top w:val="nil"/>
              <w:left w:val="nil"/>
              <w:bottom w:val="nil"/>
              <w:right w:val="nil"/>
            </w:tcBorders>
          </w:tcPr>
          <w:p w14:paraId="1E47A449" w14:textId="77777777" w:rsidR="009034C6" w:rsidRDefault="00784AE8">
            <w:pPr>
              <w:spacing w:after="0" w:line="259" w:lineRule="auto"/>
              <w:ind w:left="375" w:right="0" w:firstLine="0"/>
              <w:jc w:val="left"/>
            </w:pPr>
            <w:r>
              <w:rPr>
                <w:sz w:val="18"/>
              </w:rPr>
              <w:t>10.7175205</w:t>
            </w:r>
          </w:p>
        </w:tc>
      </w:tr>
      <w:tr w:rsidR="009034C6" w14:paraId="4D66FA2C" w14:textId="77777777">
        <w:trPr>
          <w:trHeight w:val="219"/>
        </w:trPr>
        <w:tc>
          <w:tcPr>
            <w:tcW w:w="1879" w:type="dxa"/>
            <w:tcBorders>
              <w:top w:val="nil"/>
              <w:left w:val="nil"/>
              <w:bottom w:val="nil"/>
              <w:right w:val="nil"/>
            </w:tcBorders>
          </w:tcPr>
          <w:p w14:paraId="7ADC087A" w14:textId="77777777" w:rsidR="009034C6" w:rsidRDefault="00784AE8">
            <w:pPr>
              <w:spacing w:after="0" w:line="259" w:lineRule="auto"/>
              <w:ind w:left="120" w:right="0" w:firstLine="0"/>
              <w:jc w:val="left"/>
            </w:pPr>
            <w:r>
              <w:rPr>
                <w:sz w:val="18"/>
              </w:rPr>
              <w:t>Poisson-1</w:t>
            </w:r>
          </w:p>
        </w:tc>
        <w:tc>
          <w:tcPr>
            <w:tcW w:w="1338" w:type="dxa"/>
            <w:tcBorders>
              <w:top w:val="nil"/>
              <w:left w:val="nil"/>
              <w:bottom w:val="nil"/>
              <w:right w:val="nil"/>
            </w:tcBorders>
          </w:tcPr>
          <w:p w14:paraId="663E3B76" w14:textId="77777777" w:rsidR="009034C6" w:rsidRDefault="00784AE8">
            <w:pPr>
              <w:spacing w:after="0" w:line="259" w:lineRule="auto"/>
              <w:ind w:left="187" w:right="0" w:firstLine="0"/>
              <w:jc w:val="center"/>
            </w:pPr>
            <w:r>
              <w:rPr>
                <w:sz w:val="18"/>
              </w:rPr>
              <w:t>0.0372137</w:t>
            </w:r>
          </w:p>
        </w:tc>
        <w:tc>
          <w:tcPr>
            <w:tcW w:w="935" w:type="dxa"/>
            <w:tcBorders>
              <w:top w:val="nil"/>
              <w:left w:val="nil"/>
              <w:bottom w:val="nil"/>
              <w:right w:val="nil"/>
            </w:tcBorders>
          </w:tcPr>
          <w:p w14:paraId="7C7C038B" w14:textId="77777777" w:rsidR="009034C6" w:rsidRDefault="00784AE8">
            <w:pPr>
              <w:spacing w:after="0" w:line="259" w:lineRule="auto"/>
              <w:ind w:left="0" w:right="0" w:firstLine="0"/>
              <w:jc w:val="left"/>
            </w:pPr>
            <w:r>
              <w:rPr>
                <w:sz w:val="18"/>
              </w:rPr>
              <w:t>1.204920</w:t>
            </w:r>
          </w:p>
        </w:tc>
        <w:tc>
          <w:tcPr>
            <w:tcW w:w="1028" w:type="dxa"/>
            <w:tcBorders>
              <w:top w:val="nil"/>
              <w:left w:val="nil"/>
              <w:bottom w:val="nil"/>
              <w:right w:val="nil"/>
            </w:tcBorders>
          </w:tcPr>
          <w:p w14:paraId="3CA0D7FE" w14:textId="77777777" w:rsidR="009034C6" w:rsidRDefault="00784AE8">
            <w:pPr>
              <w:spacing w:after="0" w:line="259" w:lineRule="auto"/>
              <w:ind w:left="0" w:right="0" w:firstLine="0"/>
              <w:jc w:val="left"/>
            </w:pPr>
            <w:r>
              <w:rPr>
                <w:sz w:val="18"/>
              </w:rPr>
              <w:t>0.0095263</w:t>
            </w:r>
          </w:p>
        </w:tc>
        <w:tc>
          <w:tcPr>
            <w:tcW w:w="1375" w:type="dxa"/>
            <w:tcBorders>
              <w:top w:val="nil"/>
              <w:left w:val="nil"/>
              <w:bottom w:val="nil"/>
              <w:right w:val="nil"/>
            </w:tcBorders>
          </w:tcPr>
          <w:p w14:paraId="018B05B7" w14:textId="77777777" w:rsidR="009034C6" w:rsidRDefault="00784AE8">
            <w:pPr>
              <w:spacing w:after="0" w:line="259" w:lineRule="auto"/>
              <w:ind w:left="467" w:right="0" w:firstLine="0"/>
              <w:jc w:val="left"/>
            </w:pPr>
            <w:r>
              <w:rPr>
                <w:sz w:val="18"/>
              </w:rPr>
              <w:t>1.4763353</w:t>
            </w:r>
          </w:p>
        </w:tc>
      </w:tr>
      <w:tr w:rsidR="009034C6" w14:paraId="218066CE" w14:textId="77777777">
        <w:trPr>
          <w:trHeight w:val="219"/>
        </w:trPr>
        <w:tc>
          <w:tcPr>
            <w:tcW w:w="1879" w:type="dxa"/>
            <w:tcBorders>
              <w:top w:val="nil"/>
              <w:left w:val="nil"/>
              <w:bottom w:val="nil"/>
              <w:right w:val="nil"/>
            </w:tcBorders>
          </w:tcPr>
          <w:p w14:paraId="029848C6" w14:textId="77777777" w:rsidR="009034C6" w:rsidRDefault="00784AE8">
            <w:pPr>
              <w:spacing w:after="0" w:line="259" w:lineRule="auto"/>
              <w:ind w:left="120" w:right="0" w:firstLine="0"/>
              <w:jc w:val="left"/>
            </w:pPr>
            <w:r>
              <w:rPr>
                <w:sz w:val="18"/>
              </w:rPr>
              <w:t>Poisson-2</w:t>
            </w:r>
          </w:p>
        </w:tc>
        <w:tc>
          <w:tcPr>
            <w:tcW w:w="1338" w:type="dxa"/>
            <w:tcBorders>
              <w:top w:val="nil"/>
              <w:left w:val="nil"/>
              <w:bottom w:val="nil"/>
              <w:right w:val="nil"/>
            </w:tcBorders>
          </w:tcPr>
          <w:p w14:paraId="272C8A41" w14:textId="77777777" w:rsidR="009034C6" w:rsidRDefault="00784AE8">
            <w:pPr>
              <w:spacing w:after="0" w:line="259" w:lineRule="auto"/>
              <w:ind w:left="187" w:right="0" w:firstLine="0"/>
              <w:jc w:val="center"/>
            </w:pPr>
            <w:r>
              <w:rPr>
                <w:sz w:val="18"/>
              </w:rPr>
              <w:t>0.0373884</w:t>
            </w:r>
          </w:p>
        </w:tc>
        <w:tc>
          <w:tcPr>
            <w:tcW w:w="935" w:type="dxa"/>
            <w:tcBorders>
              <w:top w:val="nil"/>
              <w:left w:val="nil"/>
              <w:bottom w:val="nil"/>
              <w:right w:val="nil"/>
            </w:tcBorders>
          </w:tcPr>
          <w:p w14:paraId="72C0AD8A" w14:textId="77777777" w:rsidR="009034C6" w:rsidRDefault="00784AE8">
            <w:pPr>
              <w:spacing w:after="0" w:line="259" w:lineRule="auto"/>
              <w:ind w:left="0" w:right="0" w:firstLine="0"/>
              <w:jc w:val="left"/>
            </w:pPr>
            <w:r>
              <w:rPr>
                <w:sz w:val="18"/>
              </w:rPr>
              <w:t>1.188109</w:t>
            </w:r>
          </w:p>
        </w:tc>
        <w:tc>
          <w:tcPr>
            <w:tcW w:w="1028" w:type="dxa"/>
            <w:tcBorders>
              <w:top w:val="nil"/>
              <w:left w:val="nil"/>
              <w:bottom w:val="nil"/>
              <w:right w:val="nil"/>
            </w:tcBorders>
          </w:tcPr>
          <w:p w14:paraId="64CE7460" w14:textId="77777777" w:rsidR="009034C6" w:rsidRDefault="00784AE8">
            <w:pPr>
              <w:spacing w:after="0" w:line="259" w:lineRule="auto"/>
              <w:ind w:left="0" w:right="0" w:firstLine="0"/>
              <w:jc w:val="left"/>
            </w:pPr>
            <w:r>
              <w:rPr>
                <w:sz w:val="18"/>
              </w:rPr>
              <w:t>0.0082932</w:t>
            </w:r>
          </w:p>
        </w:tc>
        <w:tc>
          <w:tcPr>
            <w:tcW w:w="1375" w:type="dxa"/>
            <w:tcBorders>
              <w:top w:val="nil"/>
              <w:left w:val="nil"/>
              <w:bottom w:val="nil"/>
              <w:right w:val="nil"/>
            </w:tcBorders>
          </w:tcPr>
          <w:p w14:paraId="5F5380C8" w14:textId="77777777" w:rsidR="009034C6" w:rsidRDefault="00784AE8">
            <w:pPr>
              <w:spacing w:after="0" w:line="259" w:lineRule="auto"/>
              <w:ind w:left="467" w:right="0" w:firstLine="0"/>
              <w:jc w:val="left"/>
            </w:pPr>
            <w:r>
              <w:rPr>
                <w:sz w:val="18"/>
              </w:rPr>
              <w:t>5.0768588</w:t>
            </w:r>
          </w:p>
        </w:tc>
      </w:tr>
      <w:tr w:rsidR="009034C6" w14:paraId="0F54B082" w14:textId="77777777">
        <w:trPr>
          <w:trHeight w:val="219"/>
        </w:trPr>
        <w:tc>
          <w:tcPr>
            <w:tcW w:w="1879" w:type="dxa"/>
            <w:tcBorders>
              <w:top w:val="nil"/>
              <w:left w:val="nil"/>
              <w:bottom w:val="nil"/>
              <w:right w:val="nil"/>
            </w:tcBorders>
          </w:tcPr>
          <w:p w14:paraId="55F4A0C3" w14:textId="77777777" w:rsidR="009034C6" w:rsidRDefault="00784AE8">
            <w:pPr>
              <w:spacing w:after="0" w:line="259" w:lineRule="auto"/>
              <w:ind w:left="120" w:right="0" w:firstLine="0"/>
              <w:jc w:val="left"/>
            </w:pPr>
            <w:r>
              <w:rPr>
                <w:sz w:val="18"/>
              </w:rPr>
              <w:t>NBI-2</w:t>
            </w:r>
          </w:p>
        </w:tc>
        <w:tc>
          <w:tcPr>
            <w:tcW w:w="1338" w:type="dxa"/>
            <w:tcBorders>
              <w:top w:val="nil"/>
              <w:left w:val="nil"/>
              <w:bottom w:val="nil"/>
              <w:right w:val="nil"/>
            </w:tcBorders>
          </w:tcPr>
          <w:p w14:paraId="24C82DF6" w14:textId="77777777" w:rsidR="009034C6" w:rsidRDefault="00784AE8">
            <w:pPr>
              <w:spacing w:after="0" w:line="259" w:lineRule="auto"/>
              <w:ind w:left="187" w:right="0" w:firstLine="0"/>
              <w:jc w:val="center"/>
            </w:pPr>
            <w:r>
              <w:rPr>
                <w:sz w:val="18"/>
              </w:rPr>
              <w:t>0.0540725</w:t>
            </w:r>
          </w:p>
        </w:tc>
        <w:tc>
          <w:tcPr>
            <w:tcW w:w="935" w:type="dxa"/>
            <w:tcBorders>
              <w:top w:val="nil"/>
              <w:left w:val="nil"/>
              <w:bottom w:val="nil"/>
              <w:right w:val="nil"/>
            </w:tcBorders>
          </w:tcPr>
          <w:p w14:paraId="2E97F708" w14:textId="77777777" w:rsidR="009034C6" w:rsidRDefault="00784AE8">
            <w:pPr>
              <w:spacing w:after="0" w:line="259" w:lineRule="auto"/>
              <w:ind w:left="0" w:right="0" w:firstLine="0"/>
              <w:jc w:val="left"/>
            </w:pPr>
            <w:r>
              <w:rPr>
                <w:sz w:val="18"/>
              </w:rPr>
              <w:t>1.206241</w:t>
            </w:r>
          </w:p>
        </w:tc>
        <w:tc>
          <w:tcPr>
            <w:tcW w:w="1028" w:type="dxa"/>
            <w:tcBorders>
              <w:top w:val="nil"/>
              <w:left w:val="nil"/>
              <w:bottom w:val="nil"/>
              <w:right w:val="nil"/>
            </w:tcBorders>
          </w:tcPr>
          <w:p w14:paraId="16ECBE62" w14:textId="77777777" w:rsidR="009034C6" w:rsidRDefault="00784AE8">
            <w:pPr>
              <w:spacing w:after="0" w:line="259" w:lineRule="auto"/>
              <w:ind w:left="0" w:right="0" w:firstLine="0"/>
              <w:jc w:val="left"/>
            </w:pPr>
            <w:r>
              <w:rPr>
                <w:sz w:val="18"/>
              </w:rPr>
              <w:t>0.3830272</w:t>
            </w:r>
          </w:p>
        </w:tc>
        <w:tc>
          <w:tcPr>
            <w:tcW w:w="1375" w:type="dxa"/>
            <w:tcBorders>
              <w:top w:val="nil"/>
              <w:left w:val="nil"/>
              <w:bottom w:val="nil"/>
              <w:right w:val="nil"/>
            </w:tcBorders>
          </w:tcPr>
          <w:p w14:paraId="13506C3A" w14:textId="77777777" w:rsidR="009034C6" w:rsidRDefault="00784AE8">
            <w:pPr>
              <w:spacing w:after="0" w:line="259" w:lineRule="auto"/>
              <w:ind w:left="467" w:right="0" w:firstLine="0"/>
              <w:jc w:val="left"/>
            </w:pPr>
            <w:r>
              <w:rPr>
                <w:sz w:val="18"/>
              </w:rPr>
              <w:t>1.2791870</w:t>
            </w:r>
          </w:p>
        </w:tc>
      </w:tr>
      <w:tr w:rsidR="009034C6" w14:paraId="4E8856D1" w14:textId="77777777">
        <w:trPr>
          <w:trHeight w:val="219"/>
        </w:trPr>
        <w:tc>
          <w:tcPr>
            <w:tcW w:w="1879" w:type="dxa"/>
            <w:tcBorders>
              <w:top w:val="nil"/>
              <w:left w:val="nil"/>
              <w:bottom w:val="nil"/>
              <w:right w:val="nil"/>
            </w:tcBorders>
          </w:tcPr>
          <w:p w14:paraId="3F0430FC" w14:textId="77777777" w:rsidR="009034C6" w:rsidRDefault="00784AE8">
            <w:pPr>
              <w:spacing w:after="0" w:line="259" w:lineRule="auto"/>
              <w:ind w:left="120" w:right="0" w:firstLine="0"/>
              <w:jc w:val="left"/>
            </w:pPr>
            <w:r>
              <w:rPr>
                <w:sz w:val="18"/>
              </w:rPr>
              <w:t>Benchmark-2</w:t>
            </w:r>
          </w:p>
        </w:tc>
        <w:tc>
          <w:tcPr>
            <w:tcW w:w="1338" w:type="dxa"/>
            <w:tcBorders>
              <w:top w:val="nil"/>
              <w:left w:val="nil"/>
              <w:bottom w:val="nil"/>
              <w:right w:val="nil"/>
            </w:tcBorders>
          </w:tcPr>
          <w:p w14:paraId="1ED81182" w14:textId="77777777" w:rsidR="009034C6" w:rsidRDefault="00784AE8">
            <w:pPr>
              <w:spacing w:after="0" w:line="259" w:lineRule="auto"/>
              <w:ind w:left="187" w:right="0" w:firstLine="0"/>
              <w:jc w:val="center"/>
            </w:pPr>
            <w:r>
              <w:rPr>
                <w:sz w:val="18"/>
              </w:rPr>
              <w:t>0.0557392</w:t>
            </w:r>
          </w:p>
        </w:tc>
        <w:tc>
          <w:tcPr>
            <w:tcW w:w="935" w:type="dxa"/>
            <w:tcBorders>
              <w:top w:val="nil"/>
              <w:left w:val="nil"/>
              <w:bottom w:val="nil"/>
              <w:right w:val="nil"/>
            </w:tcBorders>
          </w:tcPr>
          <w:p w14:paraId="62247986" w14:textId="77777777" w:rsidR="009034C6" w:rsidRDefault="00784AE8">
            <w:pPr>
              <w:spacing w:after="0" w:line="259" w:lineRule="auto"/>
              <w:ind w:left="0" w:right="0" w:firstLine="0"/>
              <w:jc w:val="left"/>
            </w:pPr>
            <w:r>
              <w:rPr>
                <w:sz w:val="18"/>
              </w:rPr>
              <w:t>1.217429</w:t>
            </w:r>
          </w:p>
        </w:tc>
        <w:tc>
          <w:tcPr>
            <w:tcW w:w="1028" w:type="dxa"/>
            <w:tcBorders>
              <w:top w:val="nil"/>
              <w:left w:val="nil"/>
              <w:bottom w:val="nil"/>
              <w:right w:val="nil"/>
            </w:tcBorders>
          </w:tcPr>
          <w:p w14:paraId="2C56E698" w14:textId="77777777" w:rsidR="009034C6" w:rsidRDefault="00784AE8">
            <w:pPr>
              <w:spacing w:after="0" w:line="259" w:lineRule="auto"/>
              <w:ind w:left="0" w:right="0" w:firstLine="0"/>
              <w:jc w:val="left"/>
            </w:pPr>
            <w:r>
              <w:rPr>
                <w:sz w:val="18"/>
              </w:rPr>
              <w:t>0.2592800</w:t>
            </w:r>
          </w:p>
        </w:tc>
        <w:tc>
          <w:tcPr>
            <w:tcW w:w="1375" w:type="dxa"/>
            <w:tcBorders>
              <w:top w:val="nil"/>
              <w:left w:val="nil"/>
              <w:bottom w:val="nil"/>
              <w:right w:val="nil"/>
            </w:tcBorders>
          </w:tcPr>
          <w:p w14:paraId="1CD911B0" w14:textId="77777777" w:rsidR="009034C6" w:rsidRDefault="00784AE8">
            <w:pPr>
              <w:spacing w:after="0" w:line="259" w:lineRule="auto"/>
              <w:ind w:left="467" w:right="0" w:firstLine="0"/>
              <w:jc w:val="left"/>
            </w:pPr>
            <w:r>
              <w:rPr>
                <w:sz w:val="18"/>
              </w:rPr>
              <w:t>0.0947247</w:t>
            </w:r>
          </w:p>
        </w:tc>
      </w:tr>
      <w:tr w:rsidR="009034C6" w14:paraId="3BC5E0DB" w14:textId="77777777">
        <w:trPr>
          <w:trHeight w:val="219"/>
        </w:trPr>
        <w:tc>
          <w:tcPr>
            <w:tcW w:w="1879" w:type="dxa"/>
            <w:tcBorders>
              <w:top w:val="nil"/>
              <w:left w:val="nil"/>
              <w:bottom w:val="nil"/>
              <w:right w:val="nil"/>
            </w:tcBorders>
          </w:tcPr>
          <w:p w14:paraId="5F776D82" w14:textId="77777777" w:rsidR="009034C6" w:rsidRDefault="00784AE8">
            <w:pPr>
              <w:spacing w:after="0" w:line="259" w:lineRule="auto"/>
              <w:ind w:left="120" w:right="0" w:firstLine="0"/>
              <w:jc w:val="left"/>
            </w:pPr>
            <w:r>
              <w:rPr>
                <w:sz w:val="18"/>
              </w:rPr>
              <w:t>GBM-2</w:t>
            </w:r>
          </w:p>
        </w:tc>
        <w:tc>
          <w:tcPr>
            <w:tcW w:w="1338" w:type="dxa"/>
            <w:tcBorders>
              <w:top w:val="nil"/>
              <w:left w:val="nil"/>
              <w:bottom w:val="nil"/>
              <w:right w:val="nil"/>
            </w:tcBorders>
          </w:tcPr>
          <w:p w14:paraId="03B10F6A" w14:textId="77777777" w:rsidR="009034C6" w:rsidRDefault="00784AE8">
            <w:pPr>
              <w:spacing w:after="0" w:line="259" w:lineRule="auto"/>
              <w:ind w:left="187" w:right="0" w:firstLine="0"/>
              <w:jc w:val="center"/>
            </w:pPr>
            <w:r>
              <w:rPr>
                <w:sz w:val="18"/>
              </w:rPr>
              <w:t>0.0600153</w:t>
            </w:r>
          </w:p>
        </w:tc>
        <w:tc>
          <w:tcPr>
            <w:tcW w:w="935" w:type="dxa"/>
            <w:tcBorders>
              <w:top w:val="nil"/>
              <w:left w:val="nil"/>
              <w:bottom w:val="nil"/>
              <w:right w:val="nil"/>
            </w:tcBorders>
          </w:tcPr>
          <w:p w14:paraId="3AA8FA4C" w14:textId="77777777" w:rsidR="009034C6" w:rsidRDefault="00784AE8">
            <w:pPr>
              <w:spacing w:after="0" w:line="259" w:lineRule="auto"/>
              <w:ind w:left="0" w:right="0" w:firstLine="0"/>
              <w:jc w:val="left"/>
            </w:pPr>
            <w:r>
              <w:rPr>
                <w:sz w:val="18"/>
              </w:rPr>
              <w:t>1.261690</w:t>
            </w:r>
          </w:p>
        </w:tc>
        <w:tc>
          <w:tcPr>
            <w:tcW w:w="1028" w:type="dxa"/>
            <w:tcBorders>
              <w:top w:val="nil"/>
              <w:left w:val="nil"/>
              <w:bottom w:val="nil"/>
              <w:right w:val="nil"/>
            </w:tcBorders>
          </w:tcPr>
          <w:p w14:paraId="7F971690" w14:textId="77777777" w:rsidR="009034C6" w:rsidRDefault="00784AE8">
            <w:pPr>
              <w:spacing w:after="0" w:line="259" w:lineRule="auto"/>
              <w:ind w:left="0" w:right="0" w:firstLine="0"/>
              <w:jc w:val="left"/>
            </w:pPr>
            <w:r>
              <w:rPr>
                <w:sz w:val="18"/>
              </w:rPr>
              <w:t>1.7770897</w:t>
            </w:r>
          </w:p>
        </w:tc>
        <w:tc>
          <w:tcPr>
            <w:tcW w:w="1375" w:type="dxa"/>
            <w:tcBorders>
              <w:top w:val="nil"/>
              <w:left w:val="nil"/>
              <w:bottom w:val="nil"/>
              <w:right w:val="nil"/>
            </w:tcBorders>
          </w:tcPr>
          <w:p w14:paraId="62499429" w14:textId="77777777" w:rsidR="009034C6" w:rsidRDefault="00784AE8">
            <w:pPr>
              <w:spacing w:after="0" w:line="259" w:lineRule="auto"/>
              <w:ind w:left="278" w:right="0" w:firstLine="0"/>
              <w:jc w:val="center"/>
            </w:pPr>
            <w:r>
              <w:rPr>
                <w:sz w:val="18"/>
              </w:rPr>
              <w:t>602.4317496</w:t>
            </w:r>
          </w:p>
        </w:tc>
      </w:tr>
      <w:tr w:rsidR="009034C6" w14:paraId="72A06A91" w14:textId="77777777">
        <w:trPr>
          <w:trHeight w:val="219"/>
        </w:trPr>
        <w:tc>
          <w:tcPr>
            <w:tcW w:w="1879" w:type="dxa"/>
            <w:tcBorders>
              <w:top w:val="nil"/>
              <w:left w:val="nil"/>
              <w:bottom w:val="nil"/>
              <w:right w:val="nil"/>
            </w:tcBorders>
          </w:tcPr>
          <w:p w14:paraId="315003FB" w14:textId="77777777" w:rsidR="009034C6" w:rsidRDefault="00784AE8">
            <w:pPr>
              <w:spacing w:after="0" w:line="259" w:lineRule="auto"/>
              <w:ind w:left="120" w:right="0" w:firstLine="0"/>
              <w:jc w:val="left"/>
            </w:pPr>
            <w:r>
              <w:rPr>
                <w:sz w:val="18"/>
              </w:rPr>
              <w:t>TBATS</w:t>
            </w:r>
          </w:p>
        </w:tc>
        <w:tc>
          <w:tcPr>
            <w:tcW w:w="1338" w:type="dxa"/>
            <w:tcBorders>
              <w:top w:val="nil"/>
              <w:left w:val="nil"/>
              <w:bottom w:val="nil"/>
              <w:right w:val="nil"/>
            </w:tcBorders>
          </w:tcPr>
          <w:p w14:paraId="65B58687" w14:textId="77777777" w:rsidR="009034C6" w:rsidRDefault="00784AE8">
            <w:pPr>
              <w:spacing w:after="0" w:line="259" w:lineRule="auto"/>
              <w:ind w:left="187" w:right="0" w:firstLine="0"/>
              <w:jc w:val="center"/>
            </w:pPr>
            <w:r>
              <w:rPr>
                <w:sz w:val="18"/>
              </w:rPr>
              <w:t>0.0855702</w:t>
            </w:r>
          </w:p>
        </w:tc>
        <w:tc>
          <w:tcPr>
            <w:tcW w:w="935" w:type="dxa"/>
            <w:tcBorders>
              <w:top w:val="nil"/>
              <w:left w:val="nil"/>
              <w:bottom w:val="nil"/>
              <w:right w:val="nil"/>
            </w:tcBorders>
          </w:tcPr>
          <w:p w14:paraId="7FF6DAC8" w14:textId="77777777" w:rsidR="009034C6" w:rsidRDefault="00784AE8">
            <w:pPr>
              <w:spacing w:after="0" w:line="259" w:lineRule="auto"/>
              <w:ind w:left="0" w:right="0" w:firstLine="0"/>
              <w:jc w:val="left"/>
            </w:pPr>
            <w:r>
              <w:rPr>
                <w:sz w:val="18"/>
              </w:rPr>
              <w:t>1.536080</w:t>
            </w:r>
          </w:p>
        </w:tc>
        <w:tc>
          <w:tcPr>
            <w:tcW w:w="1028" w:type="dxa"/>
            <w:tcBorders>
              <w:top w:val="nil"/>
              <w:left w:val="nil"/>
              <w:bottom w:val="nil"/>
              <w:right w:val="nil"/>
            </w:tcBorders>
          </w:tcPr>
          <w:p w14:paraId="3C342085" w14:textId="77777777" w:rsidR="009034C6" w:rsidRDefault="00784AE8">
            <w:pPr>
              <w:spacing w:after="0" w:line="259" w:lineRule="auto"/>
              <w:ind w:left="0" w:right="0" w:firstLine="0"/>
              <w:jc w:val="left"/>
            </w:pPr>
            <w:r>
              <w:rPr>
                <w:sz w:val="18"/>
              </w:rPr>
              <w:t>0.4859770</w:t>
            </w:r>
          </w:p>
        </w:tc>
        <w:tc>
          <w:tcPr>
            <w:tcW w:w="1375" w:type="dxa"/>
            <w:tcBorders>
              <w:top w:val="nil"/>
              <w:left w:val="nil"/>
              <w:bottom w:val="nil"/>
              <w:right w:val="nil"/>
            </w:tcBorders>
          </w:tcPr>
          <w:p w14:paraId="36D05D84" w14:textId="77777777" w:rsidR="009034C6" w:rsidRDefault="00784AE8">
            <w:pPr>
              <w:spacing w:after="0" w:line="259" w:lineRule="auto"/>
              <w:ind w:left="278" w:right="0" w:firstLine="0"/>
              <w:jc w:val="center"/>
            </w:pPr>
            <w:r>
              <w:rPr>
                <w:sz w:val="18"/>
              </w:rPr>
              <w:t>273.0558176</w:t>
            </w:r>
          </w:p>
        </w:tc>
      </w:tr>
      <w:tr w:rsidR="009034C6" w14:paraId="091BFCFB" w14:textId="77777777">
        <w:trPr>
          <w:trHeight w:val="219"/>
        </w:trPr>
        <w:tc>
          <w:tcPr>
            <w:tcW w:w="1879" w:type="dxa"/>
            <w:tcBorders>
              <w:top w:val="nil"/>
              <w:left w:val="nil"/>
              <w:bottom w:val="nil"/>
              <w:right w:val="nil"/>
            </w:tcBorders>
          </w:tcPr>
          <w:p w14:paraId="0F251FCF" w14:textId="77777777" w:rsidR="009034C6" w:rsidRDefault="00784AE8">
            <w:pPr>
              <w:spacing w:after="0" w:line="259" w:lineRule="auto"/>
              <w:ind w:left="120" w:right="0" w:firstLine="0"/>
              <w:jc w:val="left"/>
            </w:pPr>
            <w:r>
              <w:rPr>
                <w:sz w:val="18"/>
              </w:rPr>
              <w:t>Regression-Poisson</w:t>
            </w:r>
          </w:p>
        </w:tc>
        <w:tc>
          <w:tcPr>
            <w:tcW w:w="1338" w:type="dxa"/>
            <w:tcBorders>
              <w:top w:val="nil"/>
              <w:left w:val="nil"/>
              <w:bottom w:val="nil"/>
              <w:right w:val="nil"/>
            </w:tcBorders>
          </w:tcPr>
          <w:p w14:paraId="1E4207AA" w14:textId="77777777" w:rsidR="009034C6" w:rsidRDefault="00784AE8">
            <w:pPr>
              <w:spacing w:after="0" w:line="259" w:lineRule="auto"/>
              <w:ind w:left="187" w:right="0" w:firstLine="0"/>
              <w:jc w:val="center"/>
            </w:pPr>
            <w:r>
              <w:rPr>
                <w:sz w:val="18"/>
              </w:rPr>
              <w:t>0.0929416</w:t>
            </w:r>
          </w:p>
        </w:tc>
        <w:tc>
          <w:tcPr>
            <w:tcW w:w="935" w:type="dxa"/>
            <w:tcBorders>
              <w:top w:val="nil"/>
              <w:left w:val="nil"/>
              <w:bottom w:val="nil"/>
              <w:right w:val="nil"/>
            </w:tcBorders>
          </w:tcPr>
          <w:p w14:paraId="662CD8D3" w14:textId="77777777" w:rsidR="009034C6" w:rsidRDefault="00784AE8">
            <w:pPr>
              <w:spacing w:after="0" w:line="259" w:lineRule="auto"/>
              <w:ind w:left="0" w:right="0" w:firstLine="0"/>
              <w:jc w:val="left"/>
            </w:pPr>
            <w:r>
              <w:rPr>
                <w:sz w:val="18"/>
              </w:rPr>
              <w:t>1.293524</w:t>
            </w:r>
          </w:p>
        </w:tc>
        <w:tc>
          <w:tcPr>
            <w:tcW w:w="1028" w:type="dxa"/>
            <w:tcBorders>
              <w:top w:val="nil"/>
              <w:left w:val="nil"/>
              <w:bottom w:val="nil"/>
              <w:right w:val="nil"/>
            </w:tcBorders>
          </w:tcPr>
          <w:p w14:paraId="61870F36" w14:textId="77777777" w:rsidR="009034C6" w:rsidRDefault="00784AE8">
            <w:pPr>
              <w:spacing w:after="0" w:line="259" w:lineRule="auto"/>
              <w:ind w:left="0" w:right="0" w:firstLine="0"/>
              <w:jc w:val="left"/>
            </w:pPr>
            <w:r>
              <w:rPr>
                <w:sz w:val="18"/>
              </w:rPr>
              <w:t>0.8490258</w:t>
            </w:r>
          </w:p>
        </w:tc>
        <w:tc>
          <w:tcPr>
            <w:tcW w:w="1375" w:type="dxa"/>
            <w:tcBorders>
              <w:top w:val="nil"/>
              <w:left w:val="nil"/>
              <w:bottom w:val="nil"/>
              <w:right w:val="nil"/>
            </w:tcBorders>
          </w:tcPr>
          <w:p w14:paraId="155F6E6D" w14:textId="77777777" w:rsidR="009034C6" w:rsidRDefault="00784AE8">
            <w:pPr>
              <w:spacing w:after="0" w:line="259" w:lineRule="auto"/>
              <w:ind w:left="375" w:right="0" w:firstLine="0"/>
              <w:jc w:val="left"/>
            </w:pPr>
            <w:r>
              <w:rPr>
                <w:sz w:val="18"/>
              </w:rPr>
              <w:t>67.1401641</w:t>
            </w:r>
          </w:p>
        </w:tc>
      </w:tr>
      <w:tr w:rsidR="009034C6" w14:paraId="01685CC8" w14:textId="77777777">
        <w:trPr>
          <w:trHeight w:val="262"/>
        </w:trPr>
        <w:tc>
          <w:tcPr>
            <w:tcW w:w="1879" w:type="dxa"/>
            <w:tcBorders>
              <w:top w:val="nil"/>
              <w:left w:val="nil"/>
              <w:bottom w:val="single" w:sz="6" w:space="0" w:color="000000"/>
              <w:right w:val="nil"/>
            </w:tcBorders>
          </w:tcPr>
          <w:p w14:paraId="11C4D133" w14:textId="77777777" w:rsidR="009034C6" w:rsidRDefault="00784AE8">
            <w:pPr>
              <w:spacing w:after="0" w:line="259" w:lineRule="auto"/>
              <w:ind w:left="120" w:right="0" w:firstLine="0"/>
              <w:jc w:val="left"/>
            </w:pPr>
            <w:r>
              <w:rPr>
                <w:sz w:val="18"/>
              </w:rPr>
              <w:t>Benchmark-1</w:t>
            </w:r>
          </w:p>
        </w:tc>
        <w:tc>
          <w:tcPr>
            <w:tcW w:w="1338" w:type="dxa"/>
            <w:tcBorders>
              <w:top w:val="nil"/>
              <w:left w:val="nil"/>
              <w:bottom w:val="single" w:sz="6" w:space="0" w:color="000000"/>
              <w:right w:val="nil"/>
            </w:tcBorders>
          </w:tcPr>
          <w:p w14:paraId="469A44DA" w14:textId="77777777" w:rsidR="009034C6" w:rsidRDefault="00784AE8">
            <w:pPr>
              <w:spacing w:after="0" w:line="259" w:lineRule="auto"/>
              <w:ind w:left="187" w:right="0" w:firstLine="0"/>
              <w:jc w:val="center"/>
            </w:pPr>
            <w:r>
              <w:rPr>
                <w:sz w:val="18"/>
              </w:rPr>
              <w:t>0.1047874</w:t>
            </w:r>
          </w:p>
        </w:tc>
        <w:tc>
          <w:tcPr>
            <w:tcW w:w="935" w:type="dxa"/>
            <w:tcBorders>
              <w:top w:val="nil"/>
              <w:left w:val="nil"/>
              <w:bottom w:val="single" w:sz="6" w:space="0" w:color="000000"/>
              <w:right w:val="nil"/>
            </w:tcBorders>
          </w:tcPr>
          <w:p w14:paraId="2750494C" w14:textId="77777777" w:rsidR="009034C6" w:rsidRDefault="00784AE8">
            <w:pPr>
              <w:spacing w:after="0" w:line="259" w:lineRule="auto"/>
              <w:ind w:left="0" w:right="0" w:firstLine="0"/>
              <w:jc w:val="left"/>
            </w:pPr>
            <w:r>
              <w:rPr>
                <w:sz w:val="18"/>
              </w:rPr>
              <w:t>1.254491</w:t>
            </w:r>
          </w:p>
        </w:tc>
        <w:tc>
          <w:tcPr>
            <w:tcW w:w="1028" w:type="dxa"/>
            <w:tcBorders>
              <w:top w:val="nil"/>
              <w:left w:val="nil"/>
              <w:bottom w:val="single" w:sz="6" w:space="0" w:color="000000"/>
              <w:right w:val="nil"/>
            </w:tcBorders>
          </w:tcPr>
          <w:p w14:paraId="4E18A3E1" w14:textId="77777777" w:rsidR="009034C6" w:rsidRDefault="00784AE8">
            <w:pPr>
              <w:spacing w:after="0" w:line="259" w:lineRule="auto"/>
              <w:ind w:left="0" w:right="0" w:firstLine="0"/>
              <w:jc w:val="left"/>
            </w:pPr>
            <w:r>
              <w:rPr>
                <w:sz w:val="18"/>
              </w:rPr>
              <w:t>1.0042634</w:t>
            </w:r>
          </w:p>
        </w:tc>
        <w:tc>
          <w:tcPr>
            <w:tcW w:w="1375" w:type="dxa"/>
            <w:tcBorders>
              <w:top w:val="nil"/>
              <w:left w:val="nil"/>
              <w:bottom w:val="single" w:sz="6" w:space="0" w:color="000000"/>
              <w:right w:val="nil"/>
            </w:tcBorders>
          </w:tcPr>
          <w:p w14:paraId="2253BC37" w14:textId="77777777" w:rsidR="009034C6" w:rsidRDefault="00784AE8">
            <w:pPr>
              <w:spacing w:after="0" w:line="259" w:lineRule="auto"/>
              <w:ind w:left="467" w:right="0" w:firstLine="0"/>
              <w:jc w:val="left"/>
            </w:pPr>
            <w:r>
              <w:rPr>
                <w:sz w:val="18"/>
              </w:rPr>
              <w:t>0.3874450</w:t>
            </w:r>
          </w:p>
        </w:tc>
      </w:tr>
    </w:tbl>
    <w:p w14:paraId="74929F0B" w14:textId="77777777" w:rsidR="00210A5E" w:rsidRDefault="00210A5E">
      <w:pPr>
        <w:ind w:left="13" w:right="0"/>
      </w:pPr>
    </w:p>
    <w:p w14:paraId="1BBC0D1F" w14:textId="132B0605" w:rsidR="009034C6" w:rsidRDefault="00784AE8">
      <w:pPr>
        <w:ind w:left="13" w:right="0"/>
      </w:pPr>
      <w:r>
        <w:t xml:space="preserve">In above figures (Figures 5- 7), we only present the performance of the top seven methods. However, we have evaluated the performance of 14 methods from the test period. Evaluation metrics and computational time (in minutes) for all methods are presented in Table 2. They are ordered by Quantile Bias. The five models </w:t>
      </w:r>
      <w:r>
        <w:lastRenderedPageBreak/>
        <w:t>identified above have a Quantile Bias of 0.014 or less, which is substantially lower than the next group of forecasts with Quantile Biases of 0.037 and above, ETS being the only exception with a value of 0.019.</w:t>
      </w:r>
    </w:p>
    <w:p w14:paraId="1850150A" w14:textId="37EC4FCC" w:rsidR="009034C6" w:rsidRDefault="00784AE8">
      <w:pPr>
        <w:ind w:left="13" w:right="0"/>
      </w:pPr>
      <w:r>
        <w:t>One more thing to notice is that the ADAM-</w:t>
      </w:r>
      <w:proofErr w:type="spellStart"/>
      <w:r>
        <w:t>iETSX</w:t>
      </w:r>
      <w:proofErr w:type="spellEnd"/>
      <w:r>
        <w:t xml:space="preserve"> model with rounded up quantiles did not perform better than the simpler one with continuous ones (Table 2). This implies that the rounding is not necessary in general, but if integer values are needed (for example, to decide how many nurses to have), then using the continuous model and then rounding up the quantiles could be considered a reasonable strategy.</w:t>
      </w:r>
    </w:p>
    <w:p w14:paraId="7FBE2709" w14:textId="77777777" w:rsidR="00210A5E" w:rsidRDefault="00210A5E">
      <w:pPr>
        <w:ind w:left="13" w:right="0"/>
      </w:pPr>
    </w:p>
    <w:p w14:paraId="5343D724" w14:textId="77777777" w:rsidR="009034C6" w:rsidRDefault="00784AE8">
      <w:pPr>
        <w:spacing w:after="281" w:line="259" w:lineRule="auto"/>
        <w:ind w:left="1359" w:right="0" w:firstLine="0"/>
        <w:jc w:val="left"/>
      </w:pPr>
      <w:r>
        <w:rPr>
          <w:noProof/>
        </w:rPr>
        <w:drawing>
          <wp:inline distT="0" distB="0" distL="0" distR="0" wp14:anchorId="0278444A" wp14:editId="5AE08F5E">
            <wp:extent cx="3919728" cy="2721864"/>
            <wp:effectExtent l="0" t="0" r="0" b="0"/>
            <wp:docPr id="66530" name="Picture 66530"/>
            <wp:cNvGraphicFramePr/>
            <a:graphic xmlns:a="http://schemas.openxmlformats.org/drawingml/2006/main">
              <a:graphicData uri="http://schemas.openxmlformats.org/drawingml/2006/picture">
                <pic:pic xmlns:pic="http://schemas.openxmlformats.org/drawingml/2006/picture">
                  <pic:nvPicPr>
                    <pic:cNvPr id="66530" name="Picture 66530"/>
                    <pic:cNvPicPr/>
                  </pic:nvPicPr>
                  <pic:blipFill>
                    <a:blip r:embed="rId27"/>
                    <a:stretch>
                      <a:fillRect/>
                    </a:stretch>
                  </pic:blipFill>
                  <pic:spPr>
                    <a:xfrm>
                      <a:off x="0" y="0"/>
                      <a:ext cx="3919728" cy="2721864"/>
                    </a:xfrm>
                    <a:prstGeom prst="rect">
                      <a:avLst/>
                    </a:prstGeom>
                  </pic:spPr>
                </pic:pic>
              </a:graphicData>
            </a:graphic>
          </wp:inline>
        </w:drawing>
      </w:r>
    </w:p>
    <w:p w14:paraId="6CA1729B" w14:textId="77777777" w:rsidR="009034C6" w:rsidRDefault="00784AE8">
      <w:pPr>
        <w:spacing w:after="299" w:line="259" w:lineRule="auto"/>
        <w:ind w:left="10" w:right="12" w:hanging="10"/>
        <w:jc w:val="center"/>
      </w:pPr>
      <w:r>
        <w:rPr>
          <w:sz w:val="16"/>
        </w:rPr>
        <w:t>Figure 8: Running time vs. forecast performance</w:t>
      </w:r>
    </w:p>
    <w:p w14:paraId="08B68379" w14:textId="279243FD" w:rsidR="009034C6" w:rsidRDefault="00784AE8">
      <w:pPr>
        <w:spacing w:after="11" w:line="226" w:lineRule="auto"/>
        <w:ind w:left="13" w:right="0" w:firstLine="296"/>
        <w:jc w:val="left"/>
      </w:pPr>
      <w:r>
        <w:t xml:space="preserve">Finally, Figure 8 reports the forecast performance of each approach versus the computational time required to generate the forecast for a given forecasting horizon of 48 hours, presented in Table 2. The X-axis shows the speed of each method presented as slow, </w:t>
      </w:r>
      <w:r w:rsidR="00210A5E">
        <w:t>moderate,</w:t>
      </w:r>
      <w:r>
        <w:t xml:space="preserve"> or fast. We observe that there is no clear association between speed and accuracy improvement of the models used in this study.</w:t>
      </w:r>
    </w:p>
    <w:p w14:paraId="5CDE6071" w14:textId="77777777" w:rsidR="009034C6" w:rsidRDefault="00784AE8">
      <w:pPr>
        <w:ind w:left="13" w:right="0"/>
      </w:pPr>
      <w:r>
        <w:t>We found that most of the methods considered in this paper fall into the fast category with a different range of performance, depending on the type of error measure. Among the fastest methods, ETS is very competitive when assessed using Quantile Bias and RMSE. Moreover, Poisson-1 and Poisson-2 provide accurate forecasts when evaluated by RMSE and Pinball.</w:t>
      </w:r>
    </w:p>
    <w:p w14:paraId="5A26C4B0" w14:textId="77777777" w:rsidR="009034C6" w:rsidRDefault="00784AE8">
      <w:pPr>
        <w:spacing w:after="371" w:line="226" w:lineRule="auto"/>
        <w:ind w:left="13" w:right="0" w:firstLine="296"/>
        <w:jc w:val="left"/>
      </w:pPr>
      <w:r>
        <w:t xml:space="preserve">Figure 8 shows that NOtr-2 is the fastest method that provides consistent accuracy assessed via all three accuracy measures. The figure also indicates that while the </w:t>
      </w:r>
      <w:r>
        <w:rPr>
          <w:i/>
          <w:sz w:val="31"/>
          <w:vertAlign w:val="subscript"/>
        </w:rPr>
        <w:t xml:space="preserve">t </w:t>
      </w:r>
      <w:r>
        <w:t>family GAMLSS model (Ttr-2) is the slowest method, it has a very good performance across the three presented accuracy measures. Therefore, if the speed is not a major constraint when generating the forecasts, one may employ this approach to generate forecasts.</w:t>
      </w:r>
    </w:p>
    <w:p w14:paraId="1C547486" w14:textId="77777777" w:rsidR="009034C6" w:rsidRDefault="00784AE8">
      <w:pPr>
        <w:pStyle w:val="Heading1"/>
        <w:ind w:left="306" w:hanging="293"/>
      </w:pPr>
      <w:r>
        <w:t>Conclusion</w:t>
      </w:r>
    </w:p>
    <w:p w14:paraId="6F06F153" w14:textId="77777777" w:rsidR="009034C6" w:rsidRDefault="00784AE8">
      <w:pPr>
        <w:ind w:left="13" w:right="0"/>
      </w:pPr>
      <w:r>
        <w:t>Short-term forecasting of arrivals at emergency departments is an important element of hospital staff and resource management. Furthermore, due to the asymmetric impact of an excess resource shortage, especially in emergency departments, quantifying forecast uncertainty is also of value as it enables planners to manage associated risks. In this paper, we have developed methods for producing a probabilistic forecast of hourly arrivals up to 48 hours ahead, comparing different state-of-the-art approaches.</w:t>
      </w:r>
    </w:p>
    <w:p w14:paraId="7864E347" w14:textId="0D1BEEB1" w:rsidR="009034C6" w:rsidRDefault="00784AE8">
      <w:pPr>
        <w:ind w:left="13" w:right="0"/>
      </w:pPr>
      <w:r>
        <w:t>Two approaches produced highly accurate, calibrated probabilistic forecasts: a time series model and a model based on distributional regression. The first is ADAM-</w:t>
      </w:r>
      <w:proofErr w:type="spellStart"/>
      <w:r>
        <w:t>iESTX</w:t>
      </w:r>
      <w:proofErr w:type="spellEnd"/>
      <w:r>
        <w:t xml:space="preserve">, an extension of exponential smoothing incorporating multiple </w:t>
      </w:r>
      <w:proofErr w:type="spellStart"/>
      <w:r>
        <w:t>seasonalities</w:t>
      </w:r>
      <w:proofErr w:type="spellEnd"/>
      <w:r>
        <w:t xml:space="preserve">, explanatory variables and assuming a Gamma predictive distribution. The </w:t>
      </w:r>
      <w:r>
        <w:lastRenderedPageBreak/>
        <w:t xml:space="preserve">second, </w:t>
      </w:r>
      <w:r w:rsidR="00D264D6">
        <w:t>labelled</w:t>
      </w:r>
      <w:r>
        <w:t xml:space="preserve"> NOtr-2, regressed the two parameters of a truncated (at zero) normal distribution on the date and time features and temperature. Both approaches produced calibrated probabilistic forecasts, but the point prediction produced by ADAM-</w:t>
      </w:r>
      <w:proofErr w:type="spellStart"/>
      <w:r>
        <w:t>iESTX</w:t>
      </w:r>
      <w:proofErr w:type="spellEnd"/>
      <w:r>
        <w:t xml:space="preserve"> had a lower RMSE than NOtr-2, while NOtr-2 produced forecasts with a lower pinball score. This suggests that the latter may be preferred if the whole distribution is used in decision-making.</w:t>
      </w:r>
    </w:p>
    <w:p w14:paraId="51700ACF" w14:textId="77777777" w:rsidR="009034C6" w:rsidRDefault="00784AE8">
      <w:pPr>
        <w:spacing w:after="11" w:line="226" w:lineRule="auto"/>
        <w:ind w:left="13" w:right="0" w:firstLine="296"/>
        <w:jc w:val="left"/>
      </w:pPr>
      <w:r>
        <w:t>Having compared the performance of a wide range of methods, we make the following observations: the choice of distribution assumed for probabilistic forecasts and choice of model features are as if not more important than the type of model employed; methods based on quantile regression, which do not assume a parametric distribution for forecasts, do not perform as well as those based on parametric distributions; and the best performing models handled the non-negative and skewed nature of the data automatically without the need for post-processing. These observations reflect the characteristics of the data, which is representative of ED arrivals, but determining the extent to which they generalise is beyond the scope of this paper. Furthermore, methods based on continuous-valued distributions are not adversely affected by the fact that the data are integer-valued. Rounding up predictive quantiles to the next integer does not make predictions worse.</w:t>
      </w:r>
    </w:p>
    <w:p w14:paraId="525B9651" w14:textId="77777777" w:rsidR="009034C6" w:rsidRDefault="00784AE8">
      <w:pPr>
        <w:ind w:left="13" w:right="0"/>
      </w:pPr>
      <w:r>
        <w:t>Finally, we have found that out-of-the-box models, which require minimal tuning or manual development, do not perform as well as well-considered statistical approaches. The popular TBATS, Prophet and Gradient Boosting Machine algorithms perform poorly compared to ADAM-</w:t>
      </w:r>
      <w:proofErr w:type="spellStart"/>
      <w:r>
        <w:t>iETSX</w:t>
      </w:r>
      <w:proofErr w:type="spellEnd"/>
      <w:r>
        <w:t xml:space="preserve"> and NOtr-2, and even the benchmarks. Of the models requiring a modest amount of user input and expertise, exponential smoothing (ETS) was found to perform well. ETS produces reasonably well-calibrated forecasts, in contrast to the poorly calibrated benchmarks and has highly accurate point forecasts.</w:t>
      </w:r>
    </w:p>
    <w:p w14:paraId="1EA28994" w14:textId="77777777" w:rsidR="009034C6" w:rsidRDefault="00784AE8">
      <w:pPr>
        <w:ind w:left="13" w:right="0" w:firstLine="0"/>
      </w:pPr>
      <w:r>
        <w:t>However, its probabilistic forecasts were considerably worse than NOtr-2 in terms of pinball score.</w:t>
      </w:r>
    </w:p>
    <w:p w14:paraId="5C84B8AC" w14:textId="77777777" w:rsidR="009034C6" w:rsidRDefault="00784AE8">
      <w:pPr>
        <w:ind w:left="13" w:right="0"/>
      </w:pPr>
      <w:r>
        <w:t>Probabilistic forecasting opens the door to more sophisticated resource management in healthcare settings by providing decision-makers with uncertainty information and enabling quantitative risk management. Linking forecasts of arrivals with upstream (ambulance call-outs) and downstream (length of stay, medical outcomes) analytics offers an opportunity to improve forecasting skills and may also be necessary to maximise benefits through more holistic decision-making.</w:t>
      </w:r>
    </w:p>
    <w:p w14:paraId="6AAD8A61" w14:textId="50CB3D65" w:rsidR="009034C6" w:rsidRDefault="00784AE8">
      <w:pPr>
        <w:spacing w:after="347"/>
        <w:ind w:left="13" w:right="0"/>
      </w:pPr>
      <w:r>
        <w:t xml:space="preserve">Further research is required to investigate the practical benefits of probabilistic forecasts in healthcare and how they can inform planning and decision making. This may require employing discrete simulation or application to the newsvendor problems. While this study has focused on hourly </w:t>
      </w:r>
      <w:r w:rsidR="00210A5E">
        <w:t>short-term</w:t>
      </w:r>
      <w:r>
        <w:t xml:space="preserve"> forecasting, producing longer-term daily forecast (e.g. 180-270 days ahead) is often required by planners to support winter planning in ED and Ambulance services which requires more investigation. Moreover, more research is needed in the forecasting of other important variables such as length of stay, bed occupancy and waiting time, in addition to patient arrivals and admissions. This may require considering the dynamics among various services, including General Practitioners, Emergency Departments, Ambulance and Fire &amp; Rescue services.</w:t>
      </w:r>
    </w:p>
    <w:p w14:paraId="1EA29AA9" w14:textId="77777777" w:rsidR="009034C6" w:rsidRDefault="00784AE8">
      <w:pPr>
        <w:pStyle w:val="Heading1"/>
        <w:ind w:left="306" w:hanging="293"/>
      </w:pPr>
      <w:r>
        <w:t>Appendices</w:t>
      </w:r>
    </w:p>
    <w:p w14:paraId="5F13FCB1" w14:textId="77777777" w:rsidR="009034C6" w:rsidRDefault="00784AE8">
      <w:pPr>
        <w:pStyle w:val="Heading2"/>
        <w:ind w:left="441" w:hanging="428"/>
      </w:pPr>
      <w:r>
        <w:t>Quantiles of rounded up random variables</w:t>
      </w:r>
    </w:p>
    <w:p w14:paraId="1CD1EE17" w14:textId="77777777" w:rsidR="009034C6" w:rsidRDefault="00784AE8">
      <w:pPr>
        <w:spacing w:after="39"/>
        <w:ind w:left="13" w:right="0"/>
      </w:pPr>
      <w:r>
        <w:t>Before proceeding with the proof, we need to define the quantiles of the continuous and rounded up random variables:</w:t>
      </w:r>
    </w:p>
    <w:p w14:paraId="3CA7AF63" w14:textId="77777777" w:rsidR="009034C6" w:rsidRDefault="00784AE8">
      <w:pPr>
        <w:tabs>
          <w:tab w:val="center" w:pos="4446"/>
          <w:tab w:val="right" w:pos="8904"/>
        </w:tabs>
        <w:spacing w:after="100" w:line="265" w:lineRule="auto"/>
        <w:ind w:left="0" w:right="0" w:firstLine="0"/>
        <w:jc w:val="left"/>
      </w:pPr>
      <w:r>
        <w:rPr>
          <w:sz w:val="22"/>
        </w:rPr>
        <w:tab/>
      </w:r>
      <w:r>
        <w:rPr>
          <w:i/>
        </w:rPr>
        <w:t xml:space="preserve">P </w:t>
      </w:r>
      <w:r>
        <w:t>(</w:t>
      </w:r>
      <w:proofErr w:type="spellStart"/>
      <w:r>
        <w:rPr>
          <w:i/>
        </w:rPr>
        <w:t>y</w:t>
      </w:r>
      <w:r>
        <w:rPr>
          <w:i/>
          <w:vertAlign w:val="subscript"/>
        </w:rPr>
        <w:t>t</w:t>
      </w:r>
      <w:proofErr w:type="spellEnd"/>
      <w:r>
        <w:rPr>
          <w:i/>
          <w:vertAlign w:val="subscript"/>
        </w:rPr>
        <w:t xml:space="preserve"> </w:t>
      </w:r>
      <w:r>
        <w:rPr>
          <w:i/>
        </w:rPr>
        <w:t>&lt; k</w:t>
      </w:r>
      <w:r>
        <w:t xml:space="preserve">) = 1 </w:t>
      </w:r>
      <w:r>
        <w:rPr>
          <w:i/>
        </w:rPr>
        <w:t>− α,</w:t>
      </w:r>
      <w:r>
        <w:rPr>
          <w:i/>
        </w:rPr>
        <w:tab/>
      </w:r>
      <w:r>
        <w:t>(11)</w:t>
      </w:r>
    </w:p>
    <w:p w14:paraId="08004A4D" w14:textId="77777777" w:rsidR="009034C6" w:rsidRDefault="00784AE8">
      <w:pPr>
        <w:spacing w:after="44"/>
        <w:ind w:left="13" w:right="0" w:firstLine="0"/>
      </w:pPr>
      <w:r>
        <w:t>and</w:t>
      </w:r>
    </w:p>
    <w:p w14:paraId="0E2F1D94" w14:textId="77777777" w:rsidR="009034C6" w:rsidRDefault="00784AE8">
      <w:pPr>
        <w:tabs>
          <w:tab w:val="center" w:pos="4446"/>
          <w:tab w:val="right" w:pos="8904"/>
        </w:tabs>
        <w:spacing w:after="101" w:line="265" w:lineRule="auto"/>
        <w:ind w:left="0" w:right="0" w:firstLine="0"/>
        <w:jc w:val="left"/>
      </w:pPr>
      <w:r>
        <w:rPr>
          <w:sz w:val="22"/>
        </w:rPr>
        <w:tab/>
      </w:r>
      <w:r>
        <w:rPr>
          <w:i/>
        </w:rPr>
        <w:t xml:space="preserve">P </w:t>
      </w:r>
      <w:r>
        <w:t>(</w:t>
      </w:r>
      <w:r>
        <w:rPr>
          <w:i/>
        </w:rPr>
        <w:t>⌈</w:t>
      </w:r>
      <w:proofErr w:type="spellStart"/>
      <w:r>
        <w:rPr>
          <w:i/>
        </w:rPr>
        <w:t>y</w:t>
      </w:r>
      <w:r>
        <w:rPr>
          <w:i/>
          <w:vertAlign w:val="subscript"/>
        </w:rPr>
        <w:t>t</w:t>
      </w:r>
      <w:proofErr w:type="spellEnd"/>
      <w:r>
        <w:rPr>
          <w:i/>
        </w:rPr>
        <w:t>⌉ ≤ n</w:t>
      </w:r>
      <w:r>
        <w:t xml:space="preserve">) </w:t>
      </w:r>
      <w:r>
        <w:rPr>
          <w:i/>
        </w:rPr>
        <w:t xml:space="preserve">≥ </w:t>
      </w:r>
      <w:r>
        <w:t xml:space="preserve">1 </w:t>
      </w:r>
      <w:r>
        <w:rPr>
          <w:i/>
        </w:rPr>
        <w:t>− α,</w:t>
      </w:r>
      <w:r>
        <w:rPr>
          <w:i/>
        </w:rPr>
        <w:tab/>
      </w:r>
      <w:r>
        <w:t>(12)</w:t>
      </w:r>
    </w:p>
    <w:p w14:paraId="408E73AF" w14:textId="77777777" w:rsidR="009034C6" w:rsidRDefault="00784AE8">
      <w:pPr>
        <w:spacing w:after="148"/>
        <w:ind w:left="20" w:right="0" w:hanging="7"/>
      </w:pPr>
      <w:r>
        <w:t xml:space="preserve">where </w:t>
      </w:r>
      <w:r>
        <w:rPr>
          <w:i/>
          <w:sz w:val="31"/>
          <w:vertAlign w:val="subscript"/>
        </w:rPr>
        <w:t xml:space="preserve">n </w:t>
      </w:r>
      <w:r>
        <w:t xml:space="preserve">is the quantile of the distribution of rounded up values (the smallest integer number that satisfies the inequality (12)) and </w:t>
      </w:r>
      <w:r>
        <w:rPr>
          <w:i/>
          <w:sz w:val="31"/>
          <w:vertAlign w:val="subscript"/>
        </w:rPr>
        <w:t xml:space="preserve">k </w:t>
      </w:r>
      <w:r>
        <w:t xml:space="preserve">is the quantile of the continuous distribution of the variable. In order to prove that </w:t>
      </w:r>
      <w:r>
        <w:rPr>
          <w:i/>
          <w:sz w:val="31"/>
          <w:vertAlign w:val="subscript"/>
        </w:rPr>
        <w:t xml:space="preserve">n </w:t>
      </w:r>
      <w:r>
        <w:t xml:space="preserve">= </w:t>
      </w:r>
      <w:r>
        <w:rPr>
          <w:i/>
          <w:sz w:val="31"/>
          <w:vertAlign w:val="subscript"/>
        </w:rPr>
        <w:t>⌈k⌉</w:t>
      </w:r>
      <w:r>
        <w:t>, we need to use the following basic property:</w:t>
      </w:r>
    </w:p>
    <w:p w14:paraId="33F8CDE7" w14:textId="77777777" w:rsidR="009034C6" w:rsidRDefault="00784AE8">
      <w:pPr>
        <w:tabs>
          <w:tab w:val="center" w:pos="4446"/>
          <w:tab w:val="right" w:pos="8904"/>
        </w:tabs>
        <w:spacing w:after="189" w:line="259" w:lineRule="auto"/>
        <w:ind w:left="0" w:right="0" w:firstLine="0"/>
        <w:jc w:val="left"/>
      </w:pPr>
      <w:r>
        <w:rPr>
          <w:sz w:val="22"/>
        </w:rPr>
        <w:tab/>
      </w:r>
      <w:r>
        <w:rPr>
          <w:i/>
        </w:rPr>
        <w:t>⌈</w:t>
      </w:r>
      <w:proofErr w:type="spellStart"/>
      <w:r>
        <w:rPr>
          <w:i/>
        </w:rPr>
        <w:t>y</w:t>
      </w:r>
      <w:r>
        <w:rPr>
          <w:i/>
          <w:vertAlign w:val="subscript"/>
        </w:rPr>
        <w:t>t</w:t>
      </w:r>
      <w:proofErr w:type="spellEnd"/>
      <w:r>
        <w:rPr>
          <w:i/>
        </w:rPr>
        <w:t xml:space="preserve">⌉ ≤ n ⇐⇒ </w:t>
      </w:r>
      <w:proofErr w:type="spellStart"/>
      <w:r>
        <w:rPr>
          <w:i/>
        </w:rPr>
        <w:t>y</w:t>
      </w:r>
      <w:r>
        <w:rPr>
          <w:i/>
          <w:vertAlign w:val="subscript"/>
        </w:rPr>
        <w:t>t</w:t>
      </w:r>
      <w:proofErr w:type="spellEnd"/>
      <w:r>
        <w:rPr>
          <w:i/>
          <w:vertAlign w:val="subscript"/>
        </w:rPr>
        <w:t xml:space="preserve"> </w:t>
      </w:r>
      <w:r>
        <w:rPr>
          <w:i/>
        </w:rPr>
        <w:t>≤ n,</w:t>
      </w:r>
      <w:r>
        <w:rPr>
          <w:i/>
        </w:rPr>
        <w:tab/>
      </w:r>
      <w:r>
        <w:t>(13)</w:t>
      </w:r>
    </w:p>
    <w:p w14:paraId="6AFFDBC6" w14:textId="77777777" w:rsidR="009034C6" w:rsidRDefault="00784AE8">
      <w:pPr>
        <w:ind w:left="15" w:right="0" w:hanging="2"/>
      </w:pPr>
      <w:r>
        <w:lastRenderedPageBreak/>
        <w:t xml:space="preserve">which means that the rounded up value will always be less than or equal to </w:t>
      </w:r>
      <w:r>
        <w:rPr>
          <w:i/>
          <w:sz w:val="31"/>
          <w:vertAlign w:val="subscript"/>
        </w:rPr>
        <w:t xml:space="preserve">n </w:t>
      </w:r>
      <w:r>
        <w:t xml:space="preserve">if and only if the original value is less than or equal to </w:t>
      </w:r>
      <w:r>
        <w:rPr>
          <w:i/>
          <w:sz w:val="31"/>
          <w:vertAlign w:val="subscript"/>
        </w:rPr>
        <w:t>n</w:t>
      </w:r>
      <w:r>
        <w:t>. Taking into account (13), the probability (12) can be rewritten as:</w:t>
      </w:r>
    </w:p>
    <w:tbl>
      <w:tblPr>
        <w:tblStyle w:val="TableGrid"/>
        <w:tblW w:w="8563" w:type="dxa"/>
        <w:tblInd w:w="325" w:type="dxa"/>
        <w:tblLook w:val="04A0" w:firstRow="1" w:lastRow="0" w:firstColumn="1" w:lastColumn="0" w:noHBand="0" w:noVBand="1"/>
      </w:tblPr>
      <w:tblGrid>
        <w:gridCol w:w="8209"/>
        <w:gridCol w:w="354"/>
      </w:tblGrid>
      <w:tr w:rsidR="009034C6" w14:paraId="3B0A0F6A" w14:textId="77777777">
        <w:trPr>
          <w:trHeight w:val="794"/>
        </w:trPr>
        <w:tc>
          <w:tcPr>
            <w:tcW w:w="8209" w:type="dxa"/>
            <w:tcBorders>
              <w:top w:val="nil"/>
              <w:left w:val="nil"/>
              <w:bottom w:val="nil"/>
              <w:right w:val="nil"/>
            </w:tcBorders>
          </w:tcPr>
          <w:p w14:paraId="749F385B" w14:textId="77777777" w:rsidR="009034C6" w:rsidRDefault="00784AE8">
            <w:pPr>
              <w:spacing w:after="190" w:line="259" w:lineRule="auto"/>
              <w:ind w:left="32" w:right="0" w:firstLine="0"/>
              <w:jc w:val="center"/>
            </w:pPr>
            <w:r>
              <w:rPr>
                <w:i/>
              </w:rPr>
              <w:t xml:space="preserve">P </w:t>
            </w:r>
            <w:r>
              <w:t>(</w:t>
            </w:r>
            <w:proofErr w:type="spellStart"/>
            <w:r>
              <w:rPr>
                <w:i/>
              </w:rPr>
              <w:t>y</w:t>
            </w:r>
            <w:r>
              <w:rPr>
                <w:i/>
                <w:vertAlign w:val="subscript"/>
              </w:rPr>
              <w:t>t</w:t>
            </w:r>
            <w:proofErr w:type="spellEnd"/>
            <w:r>
              <w:rPr>
                <w:i/>
                <w:vertAlign w:val="subscript"/>
              </w:rPr>
              <w:t xml:space="preserve"> </w:t>
            </w:r>
            <w:r>
              <w:rPr>
                <w:i/>
              </w:rPr>
              <w:t>≤ n</w:t>
            </w:r>
            <w:r>
              <w:t xml:space="preserve">) </w:t>
            </w:r>
            <w:r>
              <w:rPr>
                <w:i/>
              </w:rPr>
              <w:t xml:space="preserve">≥ </w:t>
            </w:r>
            <w:r>
              <w:t xml:space="preserve">1 </w:t>
            </w:r>
            <w:r>
              <w:rPr>
                <w:i/>
              </w:rPr>
              <w:t>− α.</w:t>
            </w:r>
          </w:p>
          <w:p w14:paraId="1B41FDF6" w14:textId="77777777" w:rsidR="009034C6" w:rsidRDefault="00784AE8">
            <w:pPr>
              <w:spacing w:after="0" w:line="259" w:lineRule="auto"/>
              <w:ind w:left="0" w:right="0" w:firstLine="0"/>
              <w:jc w:val="left"/>
            </w:pPr>
            <w:r>
              <w:t>Note also that the following is true:</w:t>
            </w:r>
          </w:p>
        </w:tc>
        <w:tc>
          <w:tcPr>
            <w:tcW w:w="354" w:type="dxa"/>
            <w:tcBorders>
              <w:top w:val="nil"/>
              <w:left w:val="nil"/>
              <w:bottom w:val="nil"/>
              <w:right w:val="nil"/>
            </w:tcBorders>
          </w:tcPr>
          <w:p w14:paraId="4DB8866E" w14:textId="77777777" w:rsidR="009034C6" w:rsidRDefault="00784AE8">
            <w:pPr>
              <w:spacing w:after="0" w:line="259" w:lineRule="auto"/>
              <w:ind w:left="0" w:right="0" w:firstLine="0"/>
            </w:pPr>
            <w:r>
              <w:t>(14)</w:t>
            </w:r>
          </w:p>
        </w:tc>
      </w:tr>
      <w:tr w:rsidR="009034C6" w14:paraId="0D830609" w14:textId="77777777">
        <w:trPr>
          <w:trHeight w:val="359"/>
        </w:trPr>
        <w:tc>
          <w:tcPr>
            <w:tcW w:w="8209" w:type="dxa"/>
            <w:tcBorders>
              <w:top w:val="nil"/>
              <w:left w:val="nil"/>
              <w:bottom w:val="nil"/>
              <w:right w:val="nil"/>
            </w:tcBorders>
            <w:vAlign w:val="bottom"/>
          </w:tcPr>
          <w:p w14:paraId="0BFE2D1A" w14:textId="77777777" w:rsidR="009034C6" w:rsidRDefault="00784AE8">
            <w:pPr>
              <w:spacing w:after="0" w:line="259" w:lineRule="auto"/>
              <w:ind w:left="32" w:right="0" w:firstLine="0"/>
              <w:jc w:val="center"/>
            </w:pPr>
            <w:r>
              <w:rPr>
                <w:i/>
              </w:rPr>
              <w:t xml:space="preserve">P </w:t>
            </w:r>
            <w:r>
              <w:t>(</w:t>
            </w:r>
            <w:r>
              <w:rPr>
                <w:i/>
              </w:rPr>
              <w:t>⌈</w:t>
            </w:r>
            <w:proofErr w:type="spellStart"/>
            <w:r>
              <w:rPr>
                <w:i/>
              </w:rPr>
              <w:t>y</w:t>
            </w:r>
            <w:r>
              <w:rPr>
                <w:i/>
                <w:vertAlign w:val="subscript"/>
              </w:rPr>
              <w:t>t</w:t>
            </w:r>
            <w:proofErr w:type="spellEnd"/>
            <w:r>
              <w:rPr>
                <w:i/>
              </w:rPr>
              <w:t xml:space="preserve">⌉ ≤ n − </w:t>
            </w:r>
            <w:r>
              <w:t xml:space="preserve">1) = </w:t>
            </w:r>
            <w:r>
              <w:rPr>
                <w:i/>
              </w:rPr>
              <w:t xml:space="preserve">P </w:t>
            </w:r>
            <w:r>
              <w:t>(</w:t>
            </w:r>
            <w:proofErr w:type="spellStart"/>
            <w:r>
              <w:rPr>
                <w:i/>
              </w:rPr>
              <w:t>y</w:t>
            </w:r>
            <w:r>
              <w:rPr>
                <w:i/>
                <w:vertAlign w:val="subscript"/>
              </w:rPr>
              <w:t>t</w:t>
            </w:r>
            <w:proofErr w:type="spellEnd"/>
            <w:r>
              <w:rPr>
                <w:i/>
                <w:vertAlign w:val="subscript"/>
              </w:rPr>
              <w:t xml:space="preserve"> </w:t>
            </w:r>
            <w:r>
              <w:rPr>
                <w:i/>
              </w:rPr>
              <w:t xml:space="preserve">≤ n − </w:t>
            </w:r>
            <w:r>
              <w:t xml:space="preserve">1) </w:t>
            </w:r>
            <w:r>
              <w:rPr>
                <w:i/>
              </w:rPr>
              <w:t xml:space="preserve">&lt; </w:t>
            </w:r>
            <w:r>
              <w:t xml:space="preserve">1 </w:t>
            </w:r>
            <w:r>
              <w:rPr>
                <w:i/>
              </w:rPr>
              <w:t>− α.</w:t>
            </w:r>
          </w:p>
        </w:tc>
        <w:tc>
          <w:tcPr>
            <w:tcW w:w="354" w:type="dxa"/>
            <w:tcBorders>
              <w:top w:val="nil"/>
              <w:left w:val="nil"/>
              <w:bottom w:val="nil"/>
              <w:right w:val="nil"/>
            </w:tcBorders>
          </w:tcPr>
          <w:p w14:paraId="3114FEE3" w14:textId="77777777" w:rsidR="009034C6" w:rsidRDefault="00784AE8">
            <w:pPr>
              <w:spacing w:after="0" w:line="259" w:lineRule="auto"/>
              <w:ind w:left="0" w:right="0" w:firstLine="0"/>
            </w:pPr>
            <w:r>
              <w:t>(15)</w:t>
            </w:r>
          </w:p>
        </w:tc>
      </w:tr>
    </w:tbl>
    <w:p w14:paraId="768B4A41" w14:textId="77777777" w:rsidR="009034C6" w:rsidRDefault="00784AE8">
      <w:pPr>
        <w:spacing w:after="238" w:line="259" w:lineRule="auto"/>
        <w:ind w:left="96" w:right="0" w:hanging="10"/>
        <w:jc w:val="center"/>
      </w:pPr>
      <w:r>
        <w:t>Taking the inequalities (11), (12), (14) and (15) into account, the following can be summarised:</w:t>
      </w:r>
    </w:p>
    <w:p w14:paraId="58AC8849" w14:textId="77777777" w:rsidR="009034C6" w:rsidRDefault="00784AE8">
      <w:pPr>
        <w:tabs>
          <w:tab w:val="center" w:pos="4446"/>
          <w:tab w:val="right" w:pos="8904"/>
        </w:tabs>
        <w:spacing w:after="196" w:line="259" w:lineRule="auto"/>
        <w:ind w:left="0" w:right="0" w:firstLine="0"/>
        <w:jc w:val="left"/>
      </w:pPr>
      <w:r>
        <w:rPr>
          <w:sz w:val="22"/>
        </w:rPr>
        <w:tab/>
      </w:r>
      <w:r>
        <w:rPr>
          <w:i/>
        </w:rPr>
        <w:t xml:space="preserve">P </w:t>
      </w:r>
      <w:r>
        <w:t>(</w:t>
      </w:r>
      <w:proofErr w:type="spellStart"/>
      <w:r>
        <w:rPr>
          <w:i/>
        </w:rPr>
        <w:t>y</w:t>
      </w:r>
      <w:r>
        <w:rPr>
          <w:i/>
          <w:vertAlign w:val="subscript"/>
        </w:rPr>
        <w:t>t</w:t>
      </w:r>
      <w:proofErr w:type="spellEnd"/>
      <w:r>
        <w:rPr>
          <w:i/>
          <w:vertAlign w:val="subscript"/>
        </w:rPr>
        <w:t xml:space="preserve"> </w:t>
      </w:r>
      <w:r>
        <w:rPr>
          <w:i/>
        </w:rPr>
        <w:t xml:space="preserve">≤ n − </w:t>
      </w:r>
      <w:r>
        <w:t xml:space="preserve">1) </w:t>
      </w:r>
      <w:r>
        <w:rPr>
          <w:i/>
        </w:rPr>
        <w:t xml:space="preserve">&lt; P </w:t>
      </w:r>
      <w:r>
        <w:t>(</w:t>
      </w:r>
      <w:proofErr w:type="spellStart"/>
      <w:r>
        <w:rPr>
          <w:i/>
        </w:rPr>
        <w:t>y</w:t>
      </w:r>
      <w:r>
        <w:rPr>
          <w:i/>
          <w:vertAlign w:val="subscript"/>
        </w:rPr>
        <w:t>t</w:t>
      </w:r>
      <w:proofErr w:type="spellEnd"/>
      <w:r>
        <w:rPr>
          <w:i/>
          <w:vertAlign w:val="subscript"/>
        </w:rPr>
        <w:t xml:space="preserve"> </w:t>
      </w:r>
      <w:r>
        <w:rPr>
          <w:i/>
        </w:rPr>
        <w:t>&lt; k</w:t>
      </w:r>
      <w:r>
        <w:t xml:space="preserve">) </w:t>
      </w:r>
      <w:r>
        <w:rPr>
          <w:i/>
        </w:rPr>
        <w:t xml:space="preserve">≤ P </w:t>
      </w:r>
      <w:r>
        <w:t>(</w:t>
      </w:r>
      <w:proofErr w:type="spellStart"/>
      <w:r>
        <w:rPr>
          <w:i/>
        </w:rPr>
        <w:t>y</w:t>
      </w:r>
      <w:r>
        <w:rPr>
          <w:i/>
          <w:vertAlign w:val="subscript"/>
        </w:rPr>
        <w:t>t</w:t>
      </w:r>
      <w:proofErr w:type="spellEnd"/>
      <w:r>
        <w:rPr>
          <w:i/>
          <w:vertAlign w:val="subscript"/>
        </w:rPr>
        <w:t xml:space="preserve"> </w:t>
      </w:r>
      <w:r>
        <w:rPr>
          <w:i/>
        </w:rPr>
        <w:t>≤ n</w:t>
      </w:r>
      <w:r>
        <w:t>)</w:t>
      </w:r>
      <w:r>
        <w:rPr>
          <w:i/>
        </w:rPr>
        <w:t>,</w:t>
      </w:r>
      <w:r>
        <w:rPr>
          <w:i/>
        </w:rPr>
        <w:tab/>
      </w:r>
      <w:r>
        <w:t>(16)</w:t>
      </w:r>
    </w:p>
    <w:p w14:paraId="6DF54F47" w14:textId="77777777" w:rsidR="009034C6" w:rsidRDefault="00784AE8">
      <w:pPr>
        <w:spacing w:after="136"/>
        <w:ind w:left="20" w:right="0" w:hanging="7"/>
      </w:pPr>
      <w:r>
        <w:t xml:space="preserve">which is possible only when </w:t>
      </w:r>
      <w:r>
        <w:rPr>
          <w:i/>
          <w:sz w:val="31"/>
          <w:vertAlign w:val="subscript"/>
        </w:rPr>
        <w:t xml:space="preserve">k ∈ </w:t>
      </w:r>
      <w:r>
        <w:t>(</w:t>
      </w:r>
      <w:r>
        <w:rPr>
          <w:i/>
          <w:sz w:val="31"/>
          <w:vertAlign w:val="subscript"/>
        </w:rPr>
        <w:t xml:space="preserve">n − </w:t>
      </w:r>
      <w:r>
        <w:t>1</w:t>
      </w:r>
      <w:r>
        <w:rPr>
          <w:i/>
          <w:sz w:val="31"/>
          <w:vertAlign w:val="subscript"/>
        </w:rPr>
        <w:t>,n</w:t>
      </w:r>
      <w:r>
        <w:t xml:space="preserve">], which means that </w:t>
      </w:r>
      <w:r>
        <w:rPr>
          <w:i/>
          <w:sz w:val="31"/>
          <w:vertAlign w:val="subscript"/>
        </w:rPr>
        <w:t xml:space="preserve">⌈k⌉ </w:t>
      </w:r>
      <w:r>
        <w:t xml:space="preserve">= </w:t>
      </w:r>
      <w:r>
        <w:rPr>
          <w:i/>
          <w:sz w:val="31"/>
          <w:vertAlign w:val="subscript"/>
        </w:rPr>
        <w:t>n</w:t>
      </w:r>
      <w:r>
        <w:t xml:space="preserve">. So the rounded up quantile of continuous random variable </w:t>
      </w:r>
      <w:proofErr w:type="spellStart"/>
      <w:r>
        <w:rPr>
          <w:i/>
          <w:sz w:val="31"/>
          <w:vertAlign w:val="subscript"/>
        </w:rPr>
        <w:t>y</w:t>
      </w:r>
      <w:r>
        <w:rPr>
          <w:i/>
          <w:vertAlign w:val="subscript"/>
        </w:rPr>
        <w:t>t</w:t>
      </w:r>
      <w:proofErr w:type="spellEnd"/>
      <w:r>
        <w:rPr>
          <w:i/>
          <w:vertAlign w:val="subscript"/>
        </w:rPr>
        <w:t xml:space="preserve"> </w:t>
      </w:r>
      <w:r>
        <w:t xml:space="preserve">will always be equal to the quantile of the </w:t>
      </w:r>
      <w:proofErr w:type="spellStart"/>
      <w:r>
        <w:t>descritised</w:t>
      </w:r>
      <w:proofErr w:type="spellEnd"/>
      <w:r>
        <w:t xml:space="preserve"> value of </w:t>
      </w:r>
      <w:proofErr w:type="spellStart"/>
      <w:r>
        <w:rPr>
          <w:i/>
          <w:sz w:val="31"/>
          <w:vertAlign w:val="subscript"/>
        </w:rPr>
        <w:t>y</w:t>
      </w:r>
      <w:r>
        <w:rPr>
          <w:i/>
          <w:vertAlign w:val="subscript"/>
        </w:rPr>
        <w:t>t</w:t>
      </w:r>
      <w:proofErr w:type="spellEnd"/>
      <w:r>
        <w:t>:</w:t>
      </w:r>
    </w:p>
    <w:p w14:paraId="76EF532C" w14:textId="77777777" w:rsidR="009034C6" w:rsidRDefault="00784AE8">
      <w:pPr>
        <w:tabs>
          <w:tab w:val="center" w:pos="4446"/>
          <w:tab w:val="right" w:pos="8904"/>
        </w:tabs>
        <w:spacing w:after="175" w:line="265" w:lineRule="auto"/>
        <w:ind w:left="0" w:right="0" w:firstLine="0"/>
        <w:jc w:val="left"/>
      </w:pPr>
      <w:r>
        <w:rPr>
          <w:sz w:val="22"/>
        </w:rPr>
        <w:tab/>
      </w:r>
      <w:r>
        <w:rPr>
          <w:i/>
        </w:rPr>
        <w:t>⌈Q</w:t>
      </w:r>
      <w:r>
        <w:rPr>
          <w:i/>
          <w:vertAlign w:val="subscript"/>
        </w:rPr>
        <w:t>α</w:t>
      </w:r>
      <w:r>
        <w:t>(</w:t>
      </w:r>
      <w:proofErr w:type="spellStart"/>
      <w:r>
        <w:rPr>
          <w:i/>
        </w:rPr>
        <w:t>y</w:t>
      </w:r>
      <w:r>
        <w:rPr>
          <w:i/>
          <w:vertAlign w:val="subscript"/>
        </w:rPr>
        <w:t>t</w:t>
      </w:r>
      <w:proofErr w:type="spellEnd"/>
      <w:r>
        <w:t>)</w:t>
      </w:r>
      <w:r>
        <w:rPr>
          <w:i/>
        </w:rPr>
        <w:t xml:space="preserve">⌉ </w:t>
      </w:r>
      <w:r>
        <w:t xml:space="preserve">= </w:t>
      </w:r>
      <w:r>
        <w:rPr>
          <w:i/>
        </w:rPr>
        <w:t>Q</w:t>
      </w:r>
      <w:r>
        <w:rPr>
          <w:i/>
          <w:vertAlign w:val="subscript"/>
        </w:rPr>
        <w:t xml:space="preserve">α </w:t>
      </w:r>
      <w:r>
        <w:t>(</w:t>
      </w:r>
      <w:r>
        <w:rPr>
          <w:i/>
        </w:rPr>
        <w:t>⌈</w:t>
      </w:r>
      <w:proofErr w:type="spellStart"/>
      <w:r>
        <w:rPr>
          <w:i/>
        </w:rPr>
        <w:t>y</w:t>
      </w:r>
      <w:r>
        <w:rPr>
          <w:i/>
          <w:vertAlign w:val="subscript"/>
        </w:rPr>
        <w:t>t</w:t>
      </w:r>
      <w:proofErr w:type="spellEnd"/>
      <w:r>
        <w:rPr>
          <w:i/>
        </w:rPr>
        <w:t>⌉</w:t>
      </w:r>
      <w:r>
        <w:t>)</w:t>
      </w:r>
      <w:r>
        <w:rPr>
          <w:i/>
        </w:rPr>
        <w:t>.</w:t>
      </w:r>
      <w:r>
        <w:rPr>
          <w:i/>
        </w:rPr>
        <w:tab/>
      </w:r>
      <w:r>
        <w:t>(17)</w:t>
      </w:r>
    </w:p>
    <w:p w14:paraId="5656ACE7" w14:textId="77777777" w:rsidR="009034C6" w:rsidRDefault="00784AE8">
      <w:pPr>
        <w:spacing w:after="135"/>
        <w:ind w:left="13" w:right="0"/>
      </w:pPr>
      <w:r>
        <w:t xml:space="preserve">It is also worth noting that the same results can be obtained with the floor function instead of ceiling, following the same logic. So the following equation will hold for all </w:t>
      </w:r>
      <w:proofErr w:type="spellStart"/>
      <w:r>
        <w:rPr>
          <w:i/>
          <w:sz w:val="31"/>
          <w:vertAlign w:val="subscript"/>
        </w:rPr>
        <w:t>y</w:t>
      </w:r>
      <w:r>
        <w:rPr>
          <w:i/>
          <w:vertAlign w:val="subscript"/>
        </w:rPr>
        <w:t>t</w:t>
      </w:r>
      <w:proofErr w:type="spellEnd"/>
      <w:r>
        <w:rPr>
          <w:i/>
          <w:vertAlign w:val="subscript"/>
        </w:rPr>
        <w:t xml:space="preserve"> </w:t>
      </w:r>
      <w:r>
        <w:t>as well:</w:t>
      </w:r>
    </w:p>
    <w:p w14:paraId="563405BD" w14:textId="77777777" w:rsidR="009034C6" w:rsidRDefault="00784AE8">
      <w:pPr>
        <w:tabs>
          <w:tab w:val="center" w:pos="4446"/>
          <w:tab w:val="right" w:pos="8904"/>
        </w:tabs>
        <w:spacing w:after="336" w:line="265" w:lineRule="auto"/>
        <w:ind w:left="0" w:right="0" w:firstLine="0"/>
        <w:jc w:val="left"/>
      </w:pPr>
      <w:r>
        <w:rPr>
          <w:sz w:val="22"/>
        </w:rPr>
        <w:tab/>
      </w:r>
      <w:r>
        <w:rPr>
          <w:i/>
        </w:rPr>
        <w:t>⌊Q</w:t>
      </w:r>
      <w:r>
        <w:rPr>
          <w:i/>
          <w:vertAlign w:val="subscript"/>
        </w:rPr>
        <w:t>α</w:t>
      </w:r>
      <w:r>
        <w:t>(</w:t>
      </w:r>
      <w:proofErr w:type="spellStart"/>
      <w:r>
        <w:rPr>
          <w:i/>
        </w:rPr>
        <w:t>y</w:t>
      </w:r>
      <w:r>
        <w:rPr>
          <w:i/>
          <w:vertAlign w:val="subscript"/>
        </w:rPr>
        <w:t>t</w:t>
      </w:r>
      <w:proofErr w:type="spellEnd"/>
      <w:r>
        <w:t>)</w:t>
      </w:r>
      <w:r>
        <w:rPr>
          <w:i/>
        </w:rPr>
        <w:t xml:space="preserve">⌋ </w:t>
      </w:r>
      <w:r>
        <w:t xml:space="preserve">= </w:t>
      </w:r>
      <w:r>
        <w:rPr>
          <w:i/>
        </w:rPr>
        <w:t>Q</w:t>
      </w:r>
      <w:r>
        <w:rPr>
          <w:i/>
          <w:vertAlign w:val="subscript"/>
        </w:rPr>
        <w:t xml:space="preserve">α </w:t>
      </w:r>
      <w:r>
        <w:t>(</w:t>
      </w:r>
      <w:r>
        <w:rPr>
          <w:i/>
        </w:rPr>
        <w:t>⌊</w:t>
      </w:r>
      <w:proofErr w:type="spellStart"/>
      <w:r>
        <w:rPr>
          <w:i/>
        </w:rPr>
        <w:t>y</w:t>
      </w:r>
      <w:r>
        <w:rPr>
          <w:i/>
          <w:vertAlign w:val="subscript"/>
        </w:rPr>
        <w:t>t</w:t>
      </w:r>
      <w:proofErr w:type="spellEnd"/>
      <w:r>
        <w:rPr>
          <w:i/>
        </w:rPr>
        <w:t>⌋</w:t>
      </w:r>
      <w:r>
        <w:t>)</w:t>
      </w:r>
      <w:r>
        <w:rPr>
          <w:i/>
        </w:rPr>
        <w:t>.</w:t>
      </w:r>
      <w:r>
        <w:rPr>
          <w:i/>
        </w:rPr>
        <w:tab/>
      </w:r>
      <w:r>
        <w:t>(18)</w:t>
      </w:r>
    </w:p>
    <w:p w14:paraId="24CD0C1D" w14:textId="77777777" w:rsidR="009034C6" w:rsidRDefault="00784AE8">
      <w:pPr>
        <w:pStyle w:val="Heading1"/>
        <w:numPr>
          <w:ilvl w:val="0"/>
          <w:numId w:val="0"/>
        </w:numPr>
        <w:ind w:left="23"/>
      </w:pPr>
      <w:r>
        <w:t>References</w:t>
      </w:r>
    </w:p>
    <w:p w14:paraId="69566FF3" w14:textId="77777777" w:rsidR="009034C6" w:rsidRDefault="00784AE8">
      <w:pPr>
        <w:numPr>
          <w:ilvl w:val="0"/>
          <w:numId w:val="5"/>
        </w:numPr>
        <w:spacing w:after="155"/>
        <w:ind w:left="423" w:right="0" w:hanging="410"/>
      </w:pPr>
      <w:r>
        <w:t xml:space="preserve">Andreas Asheim, Lars P Bache-Wiig </w:t>
      </w:r>
      <w:proofErr w:type="spellStart"/>
      <w:r>
        <w:t>Bjørnsen</w:t>
      </w:r>
      <w:proofErr w:type="spellEnd"/>
      <w:r>
        <w:t xml:space="preserve">, Lars E </w:t>
      </w:r>
      <w:proofErr w:type="spellStart"/>
      <w:r>
        <w:t>Næss-Pleym</w:t>
      </w:r>
      <w:proofErr w:type="spellEnd"/>
      <w:r>
        <w:t xml:space="preserve">, Oddvar </w:t>
      </w:r>
      <w:proofErr w:type="spellStart"/>
      <w:r>
        <w:t>Uleberg</w:t>
      </w:r>
      <w:proofErr w:type="spellEnd"/>
      <w:r>
        <w:t xml:space="preserve">, </w:t>
      </w:r>
      <w:proofErr w:type="spellStart"/>
      <w:r>
        <w:t>Jostein</w:t>
      </w:r>
      <w:proofErr w:type="spellEnd"/>
      <w:r>
        <w:t xml:space="preserve"> Dale, and Sara M Nilsen. Real-time forecasting of emergency department arrivals using prehospital data. </w:t>
      </w:r>
      <w:r>
        <w:rPr>
          <w:i/>
        </w:rPr>
        <w:t>BMC emergency medicine</w:t>
      </w:r>
      <w:r>
        <w:t>, 19(1):42, 2019.</w:t>
      </w:r>
    </w:p>
    <w:p w14:paraId="3411BF0E" w14:textId="77777777" w:rsidR="009034C6" w:rsidRDefault="00784AE8">
      <w:pPr>
        <w:numPr>
          <w:ilvl w:val="0"/>
          <w:numId w:val="5"/>
        </w:numPr>
        <w:spacing w:after="172"/>
        <w:ind w:left="423" w:right="0" w:hanging="410"/>
      </w:pPr>
      <w:r>
        <w:t xml:space="preserve">C. </w:t>
      </w:r>
      <w:proofErr w:type="spellStart"/>
      <w:r>
        <w:t>Bergmeir</w:t>
      </w:r>
      <w:proofErr w:type="spellEnd"/>
      <w:r>
        <w:t xml:space="preserve">, R.J. Hyndman, and J.M. Benítez. Bagging exponential smoothing methods using </w:t>
      </w:r>
      <w:proofErr w:type="spellStart"/>
      <w:r>
        <w:t>stl</w:t>
      </w:r>
      <w:proofErr w:type="spellEnd"/>
      <w:r>
        <w:t xml:space="preserve"> decomposition and box-cox transformation. </w:t>
      </w:r>
      <w:r>
        <w:rPr>
          <w:i/>
        </w:rPr>
        <w:t>International Journal of Forecasting</w:t>
      </w:r>
      <w:r>
        <w:t>, 2016.</w:t>
      </w:r>
    </w:p>
    <w:p w14:paraId="27DB46A4" w14:textId="77777777" w:rsidR="009034C6" w:rsidRDefault="00784AE8">
      <w:pPr>
        <w:numPr>
          <w:ilvl w:val="0"/>
          <w:numId w:val="5"/>
        </w:numPr>
        <w:spacing w:after="188"/>
        <w:ind w:left="423" w:right="0" w:hanging="410"/>
      </w:pPr>
      <w:r>
        <w:t xml:space="preserve">Tim </w:t>
      </w:r>
      <w:proofErr w:type="spellStart"/>
      <w:r>
        <w:t>Bollerslev</w:t>
      </w:r>
      <w:proofErr w:type="spellEnd"/>
      <w:r>
        <w:t xml:space="preserve">, Robert F Engle, and Daniel B Nelson. Arch models. </w:t>
      </w:r>
      <w:r>
        <w:rPr>
          <w:i/>
          <w:sz w:val="31"/>
          <w:vertAlign w:val="subscript"/>
        </w:rPr>
        <w:t>Handbook of econometrics</w:t>
      </w:r>
      <w:r>
        <w:t>, 4: 2959–3038, 1994.</w:t>
      </w:r>
    </w:p>
    <w:p w14:paraId="2231D127" w14:textId="77777777" w:rsidR="009034C6" w:rsidRDefault="00784AE8">
      <w:pPr>
        <w:numPr>
          <w:ilvl w:val="0"/>
          <w:numId w:val="5"/>
        </w:numPr>
        <w:spacing w:after="146"/>
        <w:ind w:left="423" w:right="0" w:hanging="410"/>
      </w:pPr>
      <w:r>
        <w:t xml:space="preserve">George Box and Gwilym Jenkins. </w:t>
      </w:r>
      <w:r>
        <w:rPr>
          <w:i/>
        </w:rPr>
        <w:t>Time series analysis: forecasting and control</w:t>
      </w:r>
      <w:r>
        <w:t>. Holden-day, Oakland, California, 1976.</w:t>
      </w:r>
    </w:p>
    <w:p w14:paraId="6C319B42" w14:textId="77777777" w:rsidR="009034C6" w:rsidRDefault="00784AE8">
      <w:pPr>
        <w:numPr>
          <w:ilvl w:val="0"/>
          <w:numId w:val="5"/>
        </w:numPr>
        <w:ind w:left="423" w:right="0" w:hanging="410"/>
      </w:pPr>
      <w:r>
        <w:t>Justin Boyle, Melanie Jessup, Julia Crilly, David Green, James Lind, Marianne Wallis, Peter</w:t>
      </w:r>
    </w:p>
    <w:p w14:paraId="461E27DD" w14:textId="77777777" w:rsidR="009034C6" w:rsidRDefault="00784AE8">
      <w:pPr>
        <w:spacing w:after="148"/>
        <w:ind w:left="422" w:right="0" w:firstLine="14"/>
      </w:pPr>
      <w:r>
        <w:t xml:space="preserve">Miller, and Gerard Fitzgerald. Predicting emergency department admissions. </w:t>
      </w:r>
      <w:r>
        <w:rPr>
          <w:i/>
          <w:sz w:val="31"/>
          <w:vertAlign w:val="subscript"/>
        </w:rPr>
        <w:t xml:space="preserve">Emergency Medicine </w:t>
      </w:r>
      <w:r>
        <w:rPr>
          <w:i/>
        </w:rPr>
        <w:t>Journal</w:t>
      </w:r>
      <w:r>
        <w:t>, 29(5):358–365, 2012.</w:t>
      </w:r>
    </w:p>
    <w:p w14:paraId="0DEC30EA" w14:textId="77777777" w:rsidR="009034C6" w:rsidRDefault="00784AE8">
      <w:pPr>
        <w:numPr>
          <w:ilvl w:val="0"/>
          <w:numId w:val="5"/>
        </w:numPr>
        <w:spacing w:after="33"/>
        <w:ind w:left="423" w:right="0" w:hanging="410"/>
      </w:pPr>
      <w:r>
        <w:t xml:space="preserve">Qian Cheng, </w:t>
      </w:r>
      <w:proofErr w:type="spellStart"/>
      <w:r>
        <w:t>Nilay</w:t>
      </w:r>
      <w:proofErr w:type="spellEnd"/>
      <w:r>
        <w:t xml:space="preserve"> </w:t>
      </w:r>
      <w:proofErr w:type="spellStart"/>
      <w:r>
        <w:t>Tanik</w:t>
      </w:r>
      <w:proofErr w:type="spellEnd"/>
      <w:r>
        <w:t xml:space="preserve"> Argon, Christopher Scott Evans, </w:t>
      </w:r>
      <w:proofErr w:type="spellStart"/>
      <w:r>
        <w:t>Yufeng</w:t>
      </w:r>
      <w:proofErr w:type="spellEnd"/>
      <w:r>
        <w:t xml:space="preserve"> Liu, Timothy F. </w:t>
      </w:r>
      <w:proofErr w:type="spellStart"/>
      <w:r>
        <w:t>PlattsMills</w:t>
      </w:r>
      <w:proofErr w:type="spellEnd"/>
      <w:r>
        <w:t xml:space="preserve">, and </w:t>
      </w:r>
      <w:proofErr w:type="spellStart"/>
      <w:r>
        <w:t>Serhan</w:t>
      </w:r>
      <w:proofErr w:type="spellEnd"/>
      <w:r>
        <w:t xml:space="preserve"> </w:t>
      </w:r>
      <w:proofErr w:type="spellStart"/>
      <w:r>
        <w:t>Ziya</w:t>
      </w:r>
      <w:proofErr w:type="spellEnd"/>
      <w:r>
        <w:t>. Forecasting emergency department hourly occupancy using time series</w:t>
      </w:r>
    </w:p>
    <w:p w14:paraId="391D3C80" w14:textId="77777777" w:rsidR="009034C6" w:rsidRDefault="00784AE8">
      <w:pPr>
        <w:spacing w:after="147"/>
        <w:ind w:left="436" w:right="0" w:firstLine="0"/>
      </w:pPr>
      <w:r>
        <w:t xml:space="preserve">analysis. </w:t>
      </w:r>
      <w:r>
        <w:rPr>
          <w:i/>
        </w:rPr>
        <w:t>The American Journal of Emergency Medicine</w:t>
      </w:r>
      <w:r>
        <w:t xml:space="preserve">, 48:177–182, 2021. ISSN 0735-6757. </w:t>
      </w:r>
      <w:proofErr w:type="spellStart"/>
      <w:r>
        <w:t>doi</w:t>
      </w:r>
      <w:proofErr w:type="spellEnd"/>
      <w:r>
        <w:t xml:space="preserve">: https://doi.org/10.1016/j.ajem.2021.04.075. URL </w:t>
      </w:r>
      <w:hyperlink r:id="rId28">
        <w:r>
          <w:t xml:space="preserve">https://www.sciencedirect.com/science/article/ </w:t>
        </w:r>
      </w:hyperlink>
      <w:hyperlink r:id="rId29">
        <w:proofErr w:type="spellStart"/>
        <w:r>
          <w:t>pii</w:t>
        </w:r>
        <w:proofErr w:type="spellEnd"/>
        <w:r>
          <w:t>/S0735675721003600.</w:t>
        </w:r>
      </w:hyperlink>
    </w:p>
    <w:p w14:paraId="31A6DCE2" w14:textId="77777777" w:rsidR="009034C6" w:rsidRDefault="00784AE8">
      <w:pPr>
        <w:numPr>
          <w:ilvl w:val="0"/>
          <w:numId w:val="5"/>
        </w:numPr>
        <w:spacing w:after="156"/>
        <w:ind w:left="423" w:right="0" w:hanging="410"/>
      </w:pPr>
      <w:r>
        <w:t xml:space="preserve">Qian Cheng, </w:t>
      </w:r>
      <w:proofErr w:type="spellStart"/>
      <w:r>
        <w:t>Nilay</w:t>
      </w:r>
      <w:proofErr w:type="spellEnd"/>
      <w:r>
        <w:t xml:space="preserve"> </w:t>
      </w:r>
      <w:proofErr w:type="spellStart"/>
      <w:r>
        <w:t>Tanik</w:t>
      </w:r>
      <w:proofErr w:type="spellEnd"/>
      <w:r>
        <w:t xml:space="preserve"> Argon, Christopher Scott Evans, </w:t>
      </w:r>
      <w:proofErr w:type="spellStart"/>
      <w:r>
        <w:t>Yufeng</w:t>
      </w:r>
      <w:proofErr w:type="spellEnd"/>
      <w:r>
        <w:t xml:space="preserve"> Liu, Timothy F Platts-Mills, and </w:t>
      </w:r>
      <w:proofErr w:type="spellStart"/>
      <w:r>
        <w:t>Serhan</w:t>
      </w:r>
      <w:proofErr w:type="spellEnd"/>
      <w:r>
        <w:t xml:space="preserve"> </w:t>
      </w:r>
      <w:proofErr w:type="spellStart"/>
      <w:r>
        <w:t>Ziya</w:t>
      </w:r>
      <w:proofErr w:type="spellEnd"/>
      <w:r>
        <w:t xml:space="preserve">. Forecasting emergency department hourly occupancy using time series analysis. </w:t>
      </w:r>
      <w:r>
        <w:rPr>
          <w:i/>
        </w:rPr>
        <w:t>The American Journal of Emergency Medicine</w:t>
      </w:r>
      <w:r>
        <w:t>, 48:177–182, 2021.</w:t>
      </w:r>
    </w:p>
    <w:p w14:paraId="69749088" w14:textId="77777777" w:rsidR="009034C6" w:rsidRDefault="00784AE8">
      <w:pPr>
        <w:numPr>
          <w:ilvl w:val="0"/>
          <w:numId w:val="5"/>
        </w:numPr>
        <w:spacing w:after="150"/>
        <w:ind w:left="423" w:right="0" w:hanging="410"/>
      </w:pPr>
      <w:r>
        <w:t xml:space="preserve">Avishek Choudhury and Estefania Urena. Forecasting hourly emergency department arrival using time series analysis. </w:t>
      </w:r>
      <w:r>
        <w:rPr>
          <w:i/>
        </w:rPr>
        <w:t>British Journal of Healthcare Management</w:t>
      </w:r>
      <w:r>
        <w:t>, 26(1):34–43, 2020.</w:t>
      </w:r>
    </w:p>
    <w:p w14:paraId="37D9A7B8" w14:textId="77777777" w:rsidR="009034C6" w:rsidRDefault="00784AE8">
      <w:pPr>
        <w:numPr>
          <w:ilvl w:val="0"/>
          <w:numId w:val="5"/>
        </w:numPr>
        <w:spacing w:after="143"/>
        <w:ind w:left="423" w:right="0" w:hanging="410"/>
      </w:pPr>
      <w:r>
        <w:lastRenderedPageBreak/>
        <w:t xml:space="preserve">Alysha M De </w:t>
      </w:r>
      <w:proofErr w:type="spellStart"/>
      <w:r>
        <w:t>Livera</w:t>
      </w:r>
      <w:proofErr w:type="spellEnd"/>
      <w:r>
        <w:t xml:space="preserve">, Rob J Hyndman, and Ralph D Snyder. Forecasting time series with complex seasonal patterns using exponential smoothing. </w:t>
      </w:r>
      <w:r>
        <w:rPr>
          <w:i/>
        </w:rPr>
        <w:t>Journal of the American Statistical Association</w:t>
      </w:r>
      <w:r>
        <w:t>, 106(496):1513–1527, 2011.</w:t>
      </w:r>
    </w:p>
    <w:p w14:paraId="3404106A" w14:textId="77777777" w:rsidR="009034C6" w:rsidRDefault="00784AE8">
      <w:pPr>
        <w:numPr>
          <w:ilvl w:val="0"/>
          <w:numId w:val="5"/>
        </w:numPr>
        <w:spacing w:after="150"/>
        <w:ind w:left="423" w:right="0" w:hanging="410"/>
      </w:pPr>
      <w:r>
        <w:t xml:space="preserve">Robert W </w:t>
      </w:r>
      <w:proofErr w:type="spellStart"/>
      <w:r>
        <w:t>Derlet</w:t>
      </w:r>
      <w:proofErr w:type="spellEnd"/>
      <w:r>
        <w:t xml:space="preserve">. Overcrowding in emergency departments: increased demand and decreased capacity. </w:t>
      </w:r>
      <w:r>
        <w:rPr>
          <w:i/>
        </w:rPr>
        <w:t>Annals of emergency medicine</w:t>
      </w:r>
      <w:r>
        <w:t>, 39(4):430–432, 2002.</w:t>
      </w:r>
    </w:p>
    <w:p w14:paraId="1AF692CB" w14:textId="77777777" w:rsidR="009034C6" w:rsidRDefault="00784AE8">
      <w:pPr>
        <w:numPr>
          <w:ilvl w:val="0"/>
          <w:numId w:val="5"/>
        </w:numPr>
        <w:spacing w:after="37"/>
        <w:ind w:left="423" w:right="0" w:hanging="410"/>
      </w:pPr>
      <w:r>
        <w:t xml:space="preserve">Bradley </w:t>
      </w:r>
      <w:proofErr w:type="spellStart"/>
      <w:r>
        <w:t>Efron</w:t>
      </w:r>
      <w:proofErr w:type="spellEnd"/>
      <w:r>
        <w:t xml:space="preserve">. Nonparametric estimates of standard error: The </w:t>
      </w:r>
      <w:proofErr w:type="spellStart"/>
      <w:r>
        <w:t>jackknife</w:t>
      </w:r>
      <w:proofErr w:type="spellEnd"/>
      <w:r>
        <w:t xml:space="preserve">, the bootstrap and other methods. </w:t>
      </w:r>
      <w:proofErr w:type="spellStart"/>
      <w:r>
        <w:rPr>
          <w:i/>
          <w:sz w:val="31"/>
          <w:vertAlign w:val="subscript"/>
        </w:rPr>
        <w:t>Biometrika</w:t>
      </w:r>
      <w:proofErr w:type="spellEnd"/>
      <w:r>
        <w:t>, 68(3):589–599, 1981. ISSN 00063444.</w:t>
      </w:r>
    </w:p>
    <w:p w14:paraId="006A38E3" w14:textId="77777777" w:rsidR="009034C6" w:rsidRDefault="00784AE8">
      <w:pPr>
        <w:numPr>
          <w:ilvl w:val="0"/>
          <w:numId w:val="5"/>
        </w:numPr>
        <w:ind w:left="423" w:right="0" w:hanging="410"/>
      </w:pPr>
      <w:proofErr w:type="spellStart"/>
      <w:r>
        <w:t>Tilmann</w:t>
      </w:r>
      <w:proofErr w:type="spellEnd"/>
      <w:r>
        <w:t xml:space="preserve"> </w:t>
      </w:r>
      <w:proofErr w:type="spellStart"/>
      <w:r>
        <w:t>Gneiting</w:t>
      </w:r>
      <w:proofErr w:type="spellEnd"/>
      <w:r>
        <w:t xml:space="preserve">, </w:t>
      </w:r>
      <w:proofErr w:type="spellStart"/>
      <w:r>
        <w:t>Fadoua</w:t>
      </w:r>
      <w:proofErr w:type="spellEnd"/>
      <w:r>
        <w:t xml:space="preserve"> </w:t>
      </w:r>
      <w:proofErr w:type="spellStart"/>
      <w:r>
        <w:t>Balabdaoui</w:t>
      </w:r>
      <w:proofErr w:type="spellEnd"/>
      <w:r>
        <w:t xml:space="preserve">, and Adrian E Raftery. Probabilistic forecasts, calibration and sharpness. </w:t>
      </w:r>
      <w:r>
        <w:rPr>
          <w:i/>
        </w:rPr>
        <w:t>Journal of the Royal Statistical Society: Series B (Statistical Methodology)</w:t>
      </w:r>
      <w:r>
        <w:t>, 69(2): 243–268, 2007.</w:t>
      </w:r>
    </w:p>
    <w:p w14:paraId="0615065B" w14:textId="77777777" w:rsidR="009034C6" w:rsidRDefault="00784AE8">
      <w:pPr>
        <w:numPr>
          <w:ilvl w:val="0"/>
          <w:numId w:val="5"/>
        </w:numPr>
        <w:ind w:left="423" w:right="0" w:hanging="410"/>
      </w:pPr>
      <w:r>
        <w:t xml:space="preserve">Brandon Greenwell, Bradley </w:t>
      </w:r>
      <w:proofErr w:type="spellStart"/>
      <w:r>
        <w:t>Boehmke</w:t>
      </w:r>
      <w:proofErr w:type="spellEnd"/>
      <w:r>
        <w:t xml:space="preserve">, Jay Cunningham, and GBM Developers. </w:t>
      </w:r>
      <w:proofErr w:type="spellStart"/>
      <w:r>
        <w:rPr>
          <w:i/>
          <w:sz w:val="31"/>
          <w:vertAlign w:val="subscript"/>
        </w:rPr>
        <w:t>gbm</w:t>
      </w:r>
      <w:proofErr w:type="spellEnd"/>
      <w:r>
        <w:rPr>
          <w:i/>
          <w:sz w:val="31"/>
          <w:vertAlign w:val="subscript"/>
        </w:rPr>
        <w:t>: Generalized</w:t>
      </w:r>
    </w:p>
    <w:p w14:paraId="6FA172C6" w14:textId="77777777" w:rsidR="009034C6" w:rsidRDefault="00784AE8">
      <w:pPr>
        <w:spacing w:after="149"/>
        <w:ind w:left="430" w:right="0" w:hanging="6"/>
      </w:pPr>
      <w:r>
        <w:rPr>
          <w:i/>
        </w:rPr>
        <w:t>Boosted Regression Models</w:t>
      </w:r>
      <w:r>
        <w:t xml:space="preserve">, 2020. URL </w:t>
      </w:r>
      <w:hyperlink r:id="rId30">
        <w:r>
          <w:t>https://CRAN.R-project.org/package=gbm.</w:t>
        </w:r>
      </w:hyperlink>
      <w:r>
        <w:t xml:space="preserve"> R package version 2.1.8.</w:t>
      </w:r>
    </w:p>
    <w:p w14:paraId="1FBD1797" w14:textId="77777777" w:rsidR="009034C6" w:rsidRDefault="00784AE8">
      <w:pPr>
        <w:numPr>
          <w:ilvl w:val="0"/>
          <w:numId w:val="5"/>
        </w:numPr>
        <w:spacing w:after="169"/>
        <w:ind w:left="423" w:right="0" w:hanging="410"/>
      </w:pPr>
      <w:r>
        <w:t xml:space="preserve">Morten </w:t>
      </w:r>
      <w:proofErr w:type="spellStart"/>
      <w:r>
        <w:t>Hertzum</w:t>
      </w:r>
      <w:proofErr w:type="spellEnd"/>
      <w:r>
        <w:t xml:space="preserve">. Forecasting hourly patient visits in the emergency department to counteract crowding. </w:t>
      </w:r>
      <w:r>
        <w:rPr>
          <w:i/>
        </w:rPr>
        <w:t>The Ergonomics Open Journal</w:t>
      </w:r>
      <w:r>
        <w:t>, 10(1), 2017.</w:t>
      </w:r>
    </w:p>
    <w:p w14:paraId="343EC79C" w14:textId="77777777" w:rsidR="009034C6" w:rsidRDefault="00784AE8">
      <w:pPr>
        <w:numPr>
          <w:ilvl w:val="0"/>
          <w:numId w:val="5"/>
        </w:numPr>
        <w:spacing w:after="149"/>
        <w:ind w:left="423" w:right="0" w:hanging="410"/>
      </w:pPr>
      <w:r>
        <w:t xml:space="preserve">GS </w:t>
      </w:r>
      <w:proofErr w:type="spellStart"/>
      <w:r>
        <w:t>Hongyi</w:t>
      </w:r>
      <w:proofErr w:type="spellEnd"/>
      <w:r>
        <w:t xml:space="preserve"> Li and </w:t>
      </w:r>
      <w:proofErr w:type="spellStart"/>
      <w:r>
        <w:t>Maddala</w:t>
      </w:r>
      <w:proofErr w:type="spellEnd"/>
      <w:r>
        <w:t xml:space="preserve">. Bootstrapping time series models. </w:t>
      </w:r>
      <w:r>
        <w:rPr>
          <w:i/>
          <w:sz w:val="31"/>
          <w:vertAlign w:val="subscript"/>
        </w:rPr>
        <w:t>Econometric reviews</w:t>
      </w:r>
      <w:r>
        <w:t>, 15(2):115–158, 1996.</w:t>
      </w:r>
    </w:p>
    <w:p w14:paraId="677C77A6" w14:textId="77777777" w:rsidR="009034C6" w:rsidRDefault="00784AE8">
      <w:pPr>
        <w:numPr>
          <w:ilvl w:val="0"/>
          <w:numId w:val="5"/>
        </w:numPr>
        <w:ind w:left="423" w:right="0" w:hanging="410"/>
      </w:pPr>
      <w:r>
        <w:t xml:space="preserve">Rob Hyndman, George </w:t>
      </w:r>
      <w:proofErr w:type="spellStart"/>
      <w:r>
        <w:t>Athanasopoulos</w:t>
      </w:r>
      <w:proofErr w:type="spellEnd"/>
      <w:r>
        <w:t xml:space="preserve">, Christoph </w:t>
      </w:r>
      <w:proofErr w:type="spellStart"/>
      <w:r>
        <w:t>Bergmeir</w:t>
      </w:r>
      <w:proofErr w:type="spellEnd"/>
      <w:r>
        <w:t xml:space="preserve">, Gabriel Caceres, Leanne Chhay, Mitchell O’Hara-Wild, </w:t>
      </w:r>
      <w:proofErr w:type="spellStart"/>
      <w:r>
        <w:t>Fotios</w:t>
      </w:r>
      <w:proofErr w:type="spellEnd"/>
      <w:r>
        <w:t xml:space="preserve"> Petropoulos, Slava </w:t>
      </w:r>
      <w:proofErr w:type="spellStart"/>
      <w:r>
        <w:t>Razbash</w:t>
      </w:r>
      <w:proofErr w:type="spellEnd"/>
      <w:r>
        <w:t xml:space="preserve">, </w:t>
      </w:r>
      <w:proofErr w:type="spellStart"/>
      <w:r>
        <w:t>Earo</w:t>
      </w:r>
      <w:proofErr w:type="spellEnd"/>
      <w:r>
        <w:t xml:space="preserve"> Wang, and Farah Yasmeen. </w:t>
      </w:r>
      <w:r>
        <w:rPr>
          <w:i/>
          <w:sz w:val="31"/>
          <w:vertAlign w:val="subscript"/>
        </w:rPr>
        <w:t>forecast:</w:t>
      </w:r>
    </w:p>
    <w:p w14:paraId="2D06FC30" w14:textId="77777777" w:rsidR="009034C6" w:rsidRDefault="00784AE8">
      <w:pPr>
        <w:spacing w:after="178"/>
        <w:ind w:left="436" w:right="0" w:hanging="11"/>
      </w:pPr>
      <w:r>
        <w:rPr>
          <w:i/>
        </w:rPr>
        <w:t>Forecasting functions for time series and linear models</w:t>
      </w:r>
      <w:r>
        <w:t xml:space="preserve">, 2020. URL </w:t>
      </w:r>
      <w:hyperlink r:id="rId31">
        <w:r>
          <w:t xml:space="preserve">http://pkg.robjhyndman.com/ </w:t>
        </w:r>
      </w:hyperlink>
      <w:hyperlink r:id="rId32">
        <w:r>
          <w:t>forecast.</w:t>
        </w:r>
      </w:hyperlink>
      <w:r>
        <w:t xml:space="preserve"> R package version 8.12.</w:t>
      </w:r>
    </w:p>
    <w:p w14:paraId="000591F6" w14:textId="77777777" w:rsidR="009034C6" w:rsidRDefault="00784AE8">
      <w:pPr>
        <w:numPr>
          <w:ilvl w:val="0"/>
          <w:numId w:val="5"/>
        </w:numPr>
        <w:spacing w:after="167"/>
        <w:ind w:left="423" w:right="0" w:hanging="410"/>
      </w:pPr>
      <w:r>
        <w:t xml:space="preserve">Rob J Hyndman and George </w:t>
      </w:r>
      <w:proofErr w:type="spellStart"/>
      <w:r>
        <w:t>Athanasopoulos</w:t>
      </w:r>
      <w:proofErr w:type="spellEnd"/>
      <w:r>
        <w:t xml:space="preserve">. </w:t>
      </w:r>
      <w:r>
        <w:rPr>
          <w:i/>
        </w:rPr>
        <w:t>Forecasting: principles and practice</w:t>
      </w:r>
      <w:r>
        <w:t xml:space="preserve">. </w:t>
      </w:r>
      <w:proofErr w:type="spellStart"/>
      <w:r>
        <w:t>OTexts</w:t>
      </w:r>
      <w:proofErr w:type="spellEnd"/>
      <w:r>
        <w:t>, 2021.</w:t>
      </w:r>
    </w:p>
    <w:p w14:paraId="70BD39A5" w14:textId="77777777" w:rsidR="009034C6" w:rsidRDefault="00784AE8">
      <w:pPr>
        <w:numPr>
          <w:ilvl w:val="0"/>
          <w:numId w:val="5"/>
        </w:numPr>
        <w:spacing w:after="165"/>
        <w:ind w:left="423" w:right="0" w:hanging="410"/>
      </w:pPr>
      <w:r>
        <w:t xml:space="preserve">Rob J. Hyndman, Anne B. Koehler, J. Keith Ord, and Ralph D. Snyder. </w:t>
      </w:r>
      <w:r>
        <w:rPr>
          <w:i/>
          <w:sz w:val="31"/>
          <w:vertAlign w:val="subscript"/>
        </w:rPr>
        <w:t xml:space="preserve">Forecasting with </w:t>
      </w:r>
      <w:r>
        <w:rPr>
          <w:i/>
        </w:rPr>
        <w:t>Exponential Smoothing</w:t>
      </w:r>
      <w:r>
        <w:t>. Springer Berlin Heidelberg, 2008. ISBN 978-3-540-71916-8.</w:t>
      </w:r>
    </w:p>
    <w:p w14:paraId="26596063" w14:textId="77777777" w:rsidR="009034C6" w:rsidRDefault="00784AE8">
      <w:pPr>
        <w:numPr>
          <w:ilvl w:val="0"/>
          <w:numId w:val="5"/>
        </w:numPr>
        <w:spacing w:after="150"/>
        <w:ind w:left="423" w:right="0" w:hanging="410"/>
      </w:pPr>
      <w:r>
        <w:t xml:space="preserve">R. E. Kalman. A New Approach to Linear Filtering and Prediction Problems. </w:t>
      </w:r>
      <w:r>
        <w:rPr>
          <w:i/>
          <w:sz w:val="31"/>
          <w:vertAlign w:val="subscript"/>
        </w:rPr>
        <w:t xml:space="preserve">Journal of Basic </w:t>
      </w:r>
      <w:r>
        <w:rPr>
          <w:i/>
        </w:rPr>
        <w:t>Engineering</w:t>
      </w:r>
      <w:r>
        <w:t xml:space="preserve">, 82(1):35, 1960. ISSN 00219223. </w:t>
      </w:r>
      <w:proofErr w:type="spellStart"/>
      <w:r>
        <w:t>doi</w:t>
      </w:r>
      <w:proofErr w:type="spellEnd"/>
      <w:r>
        <w:t>: 10.1115/1.3662552.</w:t>
      </w:r>
    </w:p>
    <w:p w14:paraId="4DD37787" w14:textId="77777777" w:rsidR="009034C6" w:rsidRDefault="00784AE8">
      <w:pPr>
        <w:numPr>
          <w:ilvl w:val="0"/>
          <w:numId w:val="5"/>
        </w:numPr>
        <w:spacing w:after="158"/>
        <w:ind w:left="423" w:right="0" w:hanging="410"/>
      </w:pPr>
      <w:proofErr w:type="spellStart"/>
      <w:r>
        <w:t>Kibaek</w:t>
      </w:r>
      <w:proofErr w:type="spellEnd"/>
      <w:r>
        <w:t xml:space="preserve"> Kim, </w:t>
      </w:r>
      <w:proofErr w:type="spellStart"/>
      <w:r>
        <w:t>Changhyeok</w:t>
      </w:r>
      <w:proofErr w:type="spellEnd"/>
      <w:r>
        <w:t xml:space="preserve"> Lee, Kevin O’Leary, Shannon </w:t>
      </w:r>
      <w:proofErr w:type="spellStart"/>
      <w:r>
        <w:t>Rosenauer</w:t>
      </w:r>
      <w:proofErr w:type="spellEnd"/>
      <w:r>
        <w:t xml:space="preserve">, and Sanjay Mehrotra. Predicting patient volumes in hospital medicine: A comparative study of different time series forecasting methods. </w:t>
      </w:r>
      <w:proofErr w:type="spellStart"/>
      <w:r>
        <w:rPr>
          <w:i/>
        </w:rPr>
        <w:t>Northwestern</w:t>
      </w:r>
      <w:proofErr w:type="spellEnd"/>
      <w:r>
        <w:rPr>
          <w:i/>
        </w:rPr>
        <w:t xml:space="preserve"> University, Illinois, USA, Scientific Report</w:t>
      </w:r>
      <w:r>
        <w:t>, 2014.</w:t>
      </w:r>
    </w:p>
    <w:p w14:paraId="449D4D69" w14:textId="77777777" w:rsidR="009034C6" w:rsidRDefault="00784AE8">
      <w:pPr>
        <w:numPr>
          <w:ilvl w:val="0"/>
          <w:numId w:val="5"/>
        </w:numPr>
        <w:spacing w:after="78"/>
        <w:ind w:left="423" w:right="0" w:hanging="410"/>
      </w:pPr>
      <w:proofErr w:type="spellStart"/>
      <w:r>
        <w:t>Josselin</w:t>
      </w:r>
      <w:proofErr w:type="spellEnd"/>
      <w:r>
        <w:t xml:space="preserve"> Le Gal La Salle, Mathieu David, and Philippe </w:t>
      </w:r>
      <w:proofErr w:type="spellStart"/>
      <w:r>
        <w:t>Lauret</w:t>
      </w:r>
      <w:proofErr w:type="spellEnd"/>
      <w:r>
        <w:t xml:space="preserve">. A new climatology reference model to benchmark probabilistic solar forecasts. </w:t>
      </w:r>
      <w:r>
        <w:rPr>
          <w:i/>
          <w:sz w:val="31"/>
          <w:vertAlign w:val="subscript"/>
        </w:rPr>
        <w:t>Solar Energy</w:t>
      </w:r>
      <w:r>
        <w:t>, 223:398–414, 2021.</w:t>
      </w:r>
    </w:p>
    <w:p w14:paraId="61AF870A" w14:textId="77777777" w:rsidR="009034C6" w:rsidRDefault="00784AE8">
      <w:pPr>
        <w:numPr>
          <w:ilvl w:val="0"/>
          <w:numId w:val="5"/>
        </w:numPr>
        <w:spacing w:after="150"/>
        <w:ind w:left="423" w:right="0" w:hanging="410"/>
      </w:pPr>
      <w:r>
        <w:t xml:space="preserve">Helmut </w:t>
      </w:r>
      <w:proofErr w:type="spellStart"/>
      <w:r>
        <w:t>Lütkepohl</w:t>
      </w:r>
      <w:proofErr w:type="spellEnd"/>
      <w:r>
        <w:t xml:space="preserve">. Vector autoregressive models. In </w:t>
      </w:r>
      <w:r>
        <w:rPr>
          <w:i/>
        </w:rPr>
        <w:t>Handbook of research methods and applications in empirical macroeconomics</w:t>
      </w:r>
      <w:r>
        <w:t>. Edward Elgar Publishing, 2013.</w:t>
      </w:r>
    </w:p>
    <w:p w14:paraId="25DC78EE" w14:textId="77777777" w:rsidR="009034C6" w:rsidRDefault="00784AE8">
      <w:pPr>
        <w:numPr>
          <w:ilvl w:val="0"/>
          <w:numId w:val="5"/>
        </w:numPr>
        <w:ind w:left="423" w:right="0" w:hanging="410"/>
      </w:pPr>
      <w:r>
        <w:t xml:space="preserve">Melissa L McCarthy, Scott L </w:t>
      </w:r>
      <w:proofErr w:type="spellStart"/>
      <w:r>
        <w:t>Zeger</w:t>
      </w:r>
      <w:proofErr w:type="spellEnd"/>
      <w:r>
        <w:t xml:space="preserve">, Ru Ding, Dominik </w:t>
      </w:r>
      <w:proofErr w:type="spellStart"/>
      <w:r>
        <w:t>Aronsky</w:t>
      </w:r>
      <w:proofErr w:type="spellEnd"/>
      <w:r>
        <w:t>, Nathan R Hoot, and Gabor D</w:t>
      </w:r>
    </w:p>
    <w:p w14:paraId="16180453" w14:textId="77777777" w:rsidR="009034C6" w:rsidRDefault="00784AE8">
      <w:pPr>
        <w:spacing w:after="150"/>
        <w:ind w:left="424" w:right="0" w:firstLine="12"/>
      </w:pPr>
      <w:proofErr w:type="spellStart"/>
      <w:r>
        <w:t>Kelen</w:t>
      </w:r>
      <w:proofErr w:type="spellEnd"/>
      <w:r>
        <w:t xml:space="preserve">. The challenge of predicting demand for emergency department services. </w:t>
      </w:r>
      <w:r>
        <w:rPr>
          <w:i/>
          <w:sz w:val="31"/>
          <w:vertAlign w:val="subscript"/>
        </w:rPr>
        <w:t xml:space="preserve">Academic Emergency </w:t>
      </w:r>
      <w:r>
        <w:rPr>
          <w:i/>
        </w:rPr>
        <w:t>Medicine</w:t>
      </w:r>
      <w:r>
        <w:t>, 15(4):337–346, 2008.</w:t>
      </w:r>
    </w:p>
    <w:p w14:paraId="326AB108" w14:textId="77777777" w:rsidR="009034C6" w:rsidRDefault="00784AE8">
      <w:pPr>
        <w:numPr>
          <w:ilvl w:val="0"/>
          <w:numId w:val="5"/>
        </w:numPr>
        <w:spacing w:after="150"/>
        <w:ind w:left="423" w:right="0" w:hanging="410"/>
      </w:pPr>
      <w:r>
        <w:t xml:space="preserve">Bernard J </w:t>
      </w:r>
      <w:proofErr w:type="spellStart"/>
      <w:r>
        <w:t>Morzuch</w:t>
      </w:r>
      <w:proofErr w:type="spellEnd"/>
      <w:r>
        <w:t xml:space="preserve"> and P Geoffrey Allen. Forecasting hospital emergency department arrivals. 26th Annual Symposium on Forecasting, Santander, Spain., 2006.</w:t>
      </w:r>
    </w:p>
    <w:p w14:paraId="42164152" w14:textId="77777777" w:rsidR="009034C6" w:rsidRDefault="00784AE8">
      <w:pPr>
        <w:numPr>
          <w:ilvl w:val="0"/>
          <w:numId w:val="5"/>
        </w:numPr>
        <w:spacing w:after="48"/>
        <w:ind w:left="423" w:right="0" w:hanging="410"/>
      </w:pPr>
      <w:r>
        <w:lastRenderedPageBreak/>
        <w:t xml:space="preserve">GUL </w:t>
      </w:r>
      <w:proofErr w:type="spellStart"/>
      <w:r>
        <w:t>Muhammet</w:t>
      </w:r>
      <w:proofErr w:type="spellEnd"/>
      <w:r>
        <w:t xml:space="preserve"> and Ali </w:t>
      </w:r>
      <w:proofErr w:type="spellStart"/>
      <w:r>
        <w:t>Fuat</w:t>
      </w:r>
      <w:proofErr w:type="spellEnd"/>
      <w:r>
        <w:t xml:space="preserve"> </w:t>
      </w:r>
      <w:proofErr w:type="spellStart"/>
      <w:r>
        <w:t>Guneri</w:t>
      </w:r>
      <w:proofErr w:type="spellEnd"/>
      <w:r>
        <w:t xml:space="preserve">. Forecasting patient length of stay in an emergency department by artificial neural networks. </w:t>
      </w:r>
      <w:r>
        <w:rPr>
          <w:i/>
        </w:rPr>
        <w:t>Journal of aeronautics and space technologies (</w:t>
      </w:r>
      <w:proofErr w:type="spellStart"/>
      <w:r>
        <w:rPr>
          <w:i/>
        </w:rPr>
        <w:t>Havacilik</w:t>
      </w:r>
      <w:proofErr w:type="spellEnd"/>
    </w:p>
    <w:p w14:paraId="6AD4B037" w14:textId="77777777" w:rsidR="009034C6" w:rsidRDefault="00784AE8">
      <w:pPr>
        <w:spacing w:after="175" w:line="253" w:lineRule="auto"/>
        <w:ind w:left="433" w:right="0" w:hanging="10"/>
        <w:jc w:val="left"/>
      </w:pPr>
      <w:proofErr w:type="spellStart"/>
      <w:r>
        <w:rPr>
          <w:i/>
        </w:rPr>
        <w:t>ve</w:t>
      </w:r>
      <w:proofErr w:type="spellEnd"/>
      <w:r>
        <w:rPr>
          <w:i/>
        </w:rPr>
        <w:t xml:space="preserve"> </w:t>
      </w:r>
      <w:proofErr w:type="spellStart"/>
      <w:r>
        <w:rPr>
          <w:i/>
        </w:rPr>
        <w:t>uzay</w:t>
      </w:r>
      <w:proofErr w:type="spellEnd"/>
      <w:r>
        <w:rPr>
          <w:i/>
        </w:rPr>
        <w:t xml:space="preserve"> </w:t>
      </w:r>
      <w:proofErr w:type="spellStart"/>
      <w:r>
        <w:rPr>
          <w:i/>
        </w:rPr>
        <w:t>teknolojileri</w:t>
      </w:r>
      <w:proofErr w:type="spellEnd"/>
      <w:r>
        <w:rPr>
          <w:i/>
        </w:rPr>
        <w:t xml:space="preserve"> </w:t>
      </w:r>
      <w:proofErr w:type="spellStart"/>
      <w:r>
        <w:rPr>
          <w:i/>
        </w:rPr>
        <w:t>dergisi</w:t>
      </w:r>
      <w:proofErr w:type="spellEnd"/>
      <w:r>
        <w:rPr>
          <w:i/>
        </w:rPr>
        <w:t>)</w:t>
      </w:r>
      <w:r>
        <w:t>, 8(2):1–6, 2015.</w:t>
      </w:r>
    </w:p>
    <w:p w14:paraId="7C792E7B" w14:textId="77777777" w:rsidR="009034C6" w:rsidRDefault="00784AE8">
      <w:pPr>
        <w:numPr>
          <w:ilvl w:val="0"/>
          <w:numId w:val="5"/>
        </w:numPr>
        <w:spacing w:after="150"/>
        <w:ind w:left="423" w:right="0" w:hanging="410"/>
      </w:pPr>
      <w:r>
        <w:t xml:space="preserve">Mitchell O’Hara-Wild, Rob Hyndman, </w:t>
      </w:r>
      <w:proofErr w:type="spellStart"/>
      <w:r>
        <w:t>Earo</w:t>
      </w:r>
      <w:proofErr w:type="spellEnd"/>
      <w:r>
        <w:t xml:space="preserve"> Wang, and Gabriel Caceres. </w:t>
      </w:r>
      <w:r>
        <w:rPr>
          <w:i/>
          <w:sz w:val="31"/>
          <w:vertAlign w:val="subscript"/>
        </w:rPr>
        <w:t xml:space="preserve">fable: Forecasting models </w:t>
      </w:r>
      <w:r>
        <w:rPr>
          <w:i/>
        </w:rPr>
        <w:t xml:space="preserve">for tidy time </w:t>
      </w:r>
      <w:proofErr w:type="spellStart"/>
      <w:r>
        <w:rPr>
          <w:i/>
        </w:rPr>
        <w:t>serie</w:t>
      </w:r>
      <w:proofErr w:type="spellEnd"/>
      <w:r>
        <w:t xml:space="preserve">, 2020. URL </w:t>
      </w:r>
      <w:hyperlink r:id="rId33">
        <w:r>
          <w:t>https://fable.tidyverts.org/.</w:t>
        </w:r>
      </w:hyperlink>
      <w:r>
        <w:t xml:space="preserve"> R package version 0.2.1.</w:t>
      </w:r>
    </w:p>
    <w:p w14:paraId="4FF9124E" w14:textId="77777777" w:rsidR="009034C6" w:rsidRDefault="00784AE8">
      <w:pPr>
        <w:numPr>
          <w:ilvl w:val="0"/>
          <w:numId w:val="5"/>
        </w:numPr>
        <w:spacing w:after="108" w:line="301" w:lineRule="auto"/>
        <w:ind w:left="423" w:right="0" w:hanging="410"/>
      </w:pPr>
      <w:r>
        <w:t xml:space="preserve">R A Rigby and D M Stasinopoulos. Generalized additive models for location, scale and shape. </w:t>
      </w:r>
      <w:r>
        <w:rPr>
          <w:i/>
        </w:rPr>
        <w:t>Journal of the Royal Statistical Society: Series C (Applied Statistics)</w:t>
      </w:r>
      <w:r>
        <w:t>, 54(3):554–507, 2005.</w:t>
      </w:r>
    </w:p>
    <w:p w14:paraId="21400A49" w14:textId="77777777" w:rsidR="009034C6" w:rsidRDefault="00784AE8">
      <w:pPr>
        <w:numPr>
          <w:ilvl w:val="0"/>
          <w:numId w:val="5"/>
        </w:numPr>
        <w:spacing w:after="152"/>
        <w:ind w:left="423" w:right="0" w:hanging="410"/>
      </w:pPr>
      <w:r>
        <w:t xml:space="preserve">Bahman Rostami-Tabar and Florian </w:t>
      </w:r>
      <w:proofErr w:type="spellStart"/>
      <w:r>
        <w:t>Ziel</w:t>
      </w:r>
      <w:proofErr w:type="spellEnd"/>
      <w:r>
        <w:t xml:space="preserve">. Anticipating special events in emergency department forecasting. </w:t>
      </w:r>
      <w:r>
        <w:rPr>
          <w:i/>
        </w:rPr>
        <w:t>International Journal of Forecasting</w:t>
      </w:r>
      <w:r>
        <w:t>, 2020.</w:t>
      </w:r>
    </w:p>
    <w:p w14:paraId="30D76517" w14:textId="77777777" w:rsidR="009034C6" w:rsidRDefault="00784AE8">
      <w:pPr>
        <w:numPr>
          <w:ilvl w:val="0"/>
          <w:numId w:val="5"/>
        </w:numPr>
        <w:spacing w:after="205"/>
        <w:ind w:left="423" w:right="0" w:hanging="410"/>
      </w:pPr>
      <w:r>
        <w:t xml:space="preserve">Lisa M </w:t>
      </w:r>
      <w:proofErr w:type="spellStart"/>
      <w:r>
        <w:t>Schweigler</w:t>
      </w:r>
      <w:proofErr w:type="spellEnd"/>
      <w:r>
        <w:t xml:space="preserve">, Jeffrey S Desmond, Melissa L McCarthy, Kyle J Bukowski, Edward L </w:t>
      </w:r>
      <w:proofErr w:type="spellStart"/>
      <w:r>
        <w:t>Ionides</w:t>
      </w:r>
      <w:proofErr w:type="spellEnd"/>
      <w:r>
        <w:t xml:space="preserve">, and John G Younger. Forecasting models of emergency department crowding. </w:t>
      </w:r>
      <w:r>
        <w:rPr>
          <w:i/>
          <w:sz w:val="31"/>
          <w:vertAlign w:val="subscript"/>
        </w:rPr>
        <w:t xml:space="preserve">Academic Emergency </w:t>
      </w:r>
      <w:r>
        <w:rPr>
          <w:i/>
        </w:rPr>
        <w:t>Medicine</w:t>
      </w:r>
      <w:r>
        <w:t>, 16(4):301–308, 2009.</w:t>
      </w:r>
    </w:p>
    <w:p w14:paraId="524E03A3" w14:textId="77777777" w:rsidR="009034C6" w:rsidRDefault="00784AE8">
      <w:pPr>
        <w:numPr>
          <w:ilvl w:val="0"/>
          <w:numId w:val="5"/>
        </w:numPr>
        <w:spacing w:line="253" w:lineRule="auto"/>
        <w:ind w:left="423" w:right="0" w:hanging="410"/>
      </w:pPr>
      <w:r>
        <w:t xml:space="preserve">Ivan </w:t>
      </w:r>
      <w:proofErr w:type="spellStart"/>
      <w:r>
        <w:t>Svetunkov</w:t>
      </w:r>
      <w:proofErr w:type="spellEnd"/>
      <w:r>
        <w:t xml:space="preserve">. </w:t>
      </w:r>
      <w:proofErr w:type="spellStart"/>
      <w:r>
        <w:rPr>
          <w:i/>
        </w:rPr>
        <w:t>greybox</w:t>
      </w:r>
      <w:proofErr w:type="spellEnd"/>
      <w:r>
        <w:rPr>
          <w:i/>
        </w:rPr>
        <w:t>: Toolbox for Model Building and Forecasting</w:t>
      </w:r>
      <w:r>
        <w:t xml:space="preserve">, 2021. URL </w:t>
      </w:r>
      <w:hyperlink r:id="rId34">
        <w:r>
          <w:t>https://github.</w:t>
        </w:r>
      </w:hyperlink>
    </w:p>
    <w:p w14:paraId="15EE6DB7" w14:textId="77777777" w:rsidR="009034C6" w:rsidRDefault="00FF1AC2">
      <w:pPr>
        <w:ind w:left="436" w:right="0" w:firstLine="0"/>
      </w:pPr>
      <w:hyperlink r:id="rId35">
        <w:r w:rsidR="00784AE8">
          <w:t>com/config-i1/</w:t>
        </w:r>
        <w:proofErr w:type="spellStart"/>
        <w:r w:rsidR="00784AE8">
          <w:t>greybox</w:t>
        </w:r>
        <w:proofErr w:type="spellEnd"/>
        <w:r w:rsidR="00784AE8">
          <w:t>.</w:t>
        </w:r>
      </w:hyperlink>
      <w:r w:rsidR="00784AE8">
        <w:t xml:space="preserve"> R package version 1.0.2.</w:t>
      </w:r>
    </w:p>
    <w:p w14:paraId="76F3D5BA" w14:textId="77777777" w:rsidR="009034C6" w:rsidRDefault="00784AE8">
      <w:pPr>
        <w:numPr>
          <w:ilvl w:val="0"/>
          <w:numId w:val="5"/>
        </w:numPr>
        <w:spacing w:after="148"/>
        <w:ind w:left="423" w:right="0" w:hanging="410"/>
      </w:pPr>
      <w:r>
        <w:t xml:space="preserve">Ivan </w:t>
      </w:r>
      <w:proofErr w:type="spellStart"/>
      <w:r>
        <w:t>Svetunkov</w:t>
      </w:r>
      <w:proofErr w:type="spellEnd"/>
      <w:r>
        <w:t xml:space="preserve">. </w:t>
      </w:r>
      <w:r>
        <w:rPr>
          <w:i/>
        </w:rPr>
        <w:t>smooth: Forecasting Using State Space Models</w:t>
      </w:r>
      <w:r>
        <w:t xml:space="preserve">, 2021. URL </w:t>
      </w:r>
      <w:hyperlink r:id="rId36">
        <w:r>
          <w:t xml:space="preserve">https://github.com/ </w:t>
        </w:r>
      </w:hyperlink>
      <w:hyperlink r:id="rId37">
        <w:r>
          <w:t>config-i1/smooth.</w:t>
        </w:r>
      </w:hyperlink>
      <w:r>
        <w:t xml:space="preserve"> R package version 3.1.1.</w:t>
      </w:r>
    </w:p>
    <w:p w14:paraId="035B2F05" w14:textId="77777777" w:rsidR="009034C6" w:rsidRDefault="00784AE8">
      <w:pPr>
        <w:numPr>
          <w:ilvl w:val="0"/>
          <w:numId w:val="5"/>
        </w:numPr>
        <w:spacing w:after="150"/>
        <w:ind w:left="423" w:right="0" w:hanging="410"/>
      </w:pPr>
      <w:r>
        <w:t xml:space="preserve">Ivan </w:t>
      </w:r>
      <w:proofErr w:type="spellStart"/>
      <w:r>
        <w:t>Svetunkov</w:t>
      </w:r>
      <w:proofErr w:type="spellEnd"/>
      <w:r>
        <w:t xml:space="preserve">. Forecasting and analytics with </w:t>
      </w:r>
      <w:proofErr w:type="spellStart"/>
      <w:r>
        <w:t>adam</w:t>
      </w:r>
      <w:proofErr w:type="spellEnd"/>
      <w:r>
        <w:t xml:space="preserve">. </w:t>
      </w:r>
      <w:proofErr w:type="spellStart"/>
      <w:r>
        <w:t>OpenForecast</w:t>
      </w:r>
      <w:proofErr w:type="spellEnd"/>
      <w:r>
        <w:t xml:space="preserve">, 2021. URL </w:t>
      </w:r>
      <w:hyperlink r:id="rId38">
        <w:r>
          <w:t xml:space="preserve">https:// </w:t>
        </w:r>
      </w:hyperlink>
      <w:hyperlink r:id="rId39">
        <w:r>
          <w:t>openforecast.org/</w:t>
        </w:r>
        <w:proofErr w:type="spellStart"/>
        <w:r>
          <w:t>adam</w:t>
        </w:r>
        <w:proofErr w:type="spellEnd"/>
        <w:r>
          <w:t>/.</w:t>
        </w:r>
      </w:hyperlink>
      <w:r>
        <w:t xml:space="preserve"> (version: [current date]).</w:t>
      </w:r>
    </w:p>
    <w:p w14:paraId="5C277C66" w14:textId="77777777" w:rsidR="009034C6" w:rsidRDefault="00784AE8">
      <w:pPr>
        <w:numPr>
          <w:ilvl w:val="0"/>
          <w:numId w:val="5"/>
        </w:numPr>
        <w:spacing w:after="150"/>
        <w:ind w:left="423" w:right="0" w:hanging="410"/>
      </w:pPr>
      <w:r>
        <w:t xml:space="preserve">Ivan </w:t>
      </w:r>
      <w:proofErr w:type="spellStart"/>
      <w:r>
        <w:t>Svetunkov</w:t>
      </w:r>
      <w:proofErr w:type="spellEnd"/>
      <w:r>
        <w:t xml:space="preserve">. Forecasting and analytics with </w:t>
      </w:r>
      <w:proofErr w:type="spellStart"/>
      <w:r>
        <w:t>adam</w:t>
      </w:r>
      <w:proofErr w:type="spellEnd"/>
      <w:r>
        <w:t xml:space="preserve">. </w:t>
      </w:r>
      <w:proofErr w:type="spellStart"/>
      <w:r>
        <w:t>OpenForecast</w:t>
      </w:r>
      <w:proofErr w:type="spellEnd"/>
      <w:r>
        <w:t xml:space="preserve">. Online Textbook, 2022. URL </w:t>
      </w:r>
      <w:hyperlink r:id="rId40">
        <w:r>
          <w:t>https://openforecast.org/adam/.</w:t>
        </w:r>
      </w:hyperlink>
      <w:r>
        <w:t xml:space="preserve"> (version: 12.01.2022).</w:t>
      </w:r>
    </w:p>
    <w:p w14:paraId="71DC4DFC" w14:textId="77777777" w:rsidR="009034C6" w:rsidRDefault="00784AE8">
      <w:pPr>
        <w:numPr>
          <w:ilvl w:val="0"/>
          <w:numId w:val="5"/>
        </w:numPr>
        <w:spacing w:after="150"/>
        <w:ind w:left="423" w:right="0" w:hanging="410"/>
      </w:pPr>
      <w:r>
        <w:t xml:space="preserve">Ivan </w:t>
      </w:r>
      <w:proofErr w:type="spellStart"/>
      <w:r>
        <w:t>Svetunkov</w:t>
      </w:r>
      <w:proofErr w:type="spellEnd"/>
      <w:r>
        <w:t xml:space="preserve"> and John E. Boylan. Multiplicative state-space models for intermittent time series. 2019.</w:t>
      </w:r>
    </w:p>
    <w:p w14:paraId="2BA8C332" w14:textId="77777777" w:rsidR="009034C6" w:rsidRDefault="00784AE8">
      <w:pPr>
        <w:numPr>
          <w:ilvl w:val="0"/>
          <w:numId w:val="5"/>
        </w:numPr>
        <w:spacing w:after="168"/>
        <w:ind w:left="423" w:right="0" w:hanging="410"/>
      </w:pPr>
      <w:r>
        <w:t xml:space="preserve">Leonard J. </w:t>
      </w:r>
      <w:proofErr w:type="spellStart"/>
      <w:r>
        <w:t>Tashman</w:t>
      </w:r>
      <w:proofErr w:type="spellEnd"/>
      <w:r>
        <w:t xml:space="preserve">. Out-of-sample tests of forecasting accuracy: An analysis and review. </w:t>
      </w:r>
      <w:r>
        <w:rPr>
          <w:i/>
        </w:rPr>
        <w:t>International Journal of Forecasting</w:t>
      </w:r>
      <w:r>
        <w:t xml:space="preserve">, 16(4):437–450, 2000. ISSN 01692070. </w:t>
      </w:r>
      <w:proofErr w:type="spellStart"/>
      <w:r>
        <w:t>doi</w:t>
      </w:r>
      <w:proofErr w:type="spellEnd"/>
      <w:r>
        <w:t>: 10.1016/S01692070(00)00065-0.</w:t>
      </w:r>
    </w:p>
    <w:p w14:paraId="04551861" w14:textId="77777777" w:rsidR="009034C6" w:rsidRDefault="00784AE8">
      <w:pPr>
        <w:numPr>
          <w:ilvl w:val="0"/>
          <w:numId w:val="5"/>
        </w:numPr>
        <w:spacing w:after="203"/>
        <w:ind w:left="423" w:right="0" w:hanging="410"/>
      </w:pPr>
      <w:r>
        <w:t xml:space="preserve">Sean J Taylor and Benjamin </w:t>
      </w:r>
      <w:proofErr w:type="spellStart"/>
      <w:r>
        <w:t>Letham</w:t>
      </w:r>
      <w:proofErr w:type="spellEnd"/>
      <w:r>
        <w:t xml:space="preserve">. Forecasting at scale. </w:t>
      </w:r>
      <w:r>
        <w:rPr>
          <w:i/>
          <w:sz w:val="31"/>
          <w:vertAlign w:val="subscript"/>
        </w:rPr>
        <w:t>The American Statistician</w:t>
      </w:r>
      <w:r>
        <w:t>, 72(1):37–45, 2018.</w:t>
      </w:r>
    </w:p>
    <w:p w14:paraId="4F94F217" w14:textId="77777777" w:rsidR="009034C6" w:rsidRDefault="00784AE8">
      <w:pPr>
        <w:numPr>
          <w:ilvl w:val="0"/>
          <w:numId w:val="5"/>
        </w:numPr>
        <w:spacing w:after="148"/>
        <w:ind w:left="423" w:right="0" w:hanging="410"/>
      </w:pPr>
      <w:r>
        <w:t xml:space="preserve">R Core Team. </w:t>
      </w:r>
      <w:r>
        <w:rPr>
          <w:i/>
        </w:rPr>
        <w:t>R: A Language and Environment for Statistical Computing</w:t>
      </w:r>
      <w:r>
        <w:t xml:space="preserve">. R Foundation for Statistical Computing, Vienna, Austria, 2021. URL </w:t>
      </w:r>
      <w:hyperlink r:id="rId41">
        <w:r>
          <w:t>https://www.R-project.org/.</w:t>
        </w:r>
      </w:hyperlink>
    </w:p>
    <w:p w14:paraId="201846AE" w14:textId="77777777" w:rsidR="009034C6" w:rsidRDefault="00784AE8">
      <w:pPr>
        <w:numPr>
          <w:ilvl w:val="0"/>
          <w:numId w:val="5"/>
        </w:numPr>
        <w:spacing w:after="196"/>
        <w:ind w:left="423" w:right="0" w:hanging="410"/>
      </w:pPr>
      <w:r>
        <w:t xml:space="preserve">BBC Wales. Wales returning to normal as snow thaws and temperatures rise. </w:t>
      </w:r>
      <w:hyperlink r:id="rId42">
        <w:r>
          <w:t xml:space="preserve">https://www.bbc. </w:t>
        </w:r>
      </w:hyperlink>
      <w:hyperlink r:id="rId43">
        <w:r>
          <w:t>co.uk/news/uk-wales-43274844.</w:t>
        </w:r>
      </w:hyperlink>
      <w:r>
        <w:t xml:space="preserve"> Accessed: 2022-01-11.</w:t>
      </w:r>
    </w:p>
    <w:p w14:paraId="5E5C5162" w14:textId="77777777" w:rsidR="009034C6" w:rsidRDefault="00784AE8">
      <w:pPr>
        <w:numPr>
          <w:ilvl w:val="0"/>
          <w:numId w:val="5"/>
        </w:numPr>
        <w:spacing w:after="41" w:line="253" w:lineRule="auto"/>
        <w:ind w:left="423" w:right="0" w:hanging="410"/>
      </w:pPr>
      <w:r>
        <w:t xml:space="preserve">Simon N Wood. </w:t>
      </w:r>
      <w:r>
        <w:rPr>
          <w:i/>
        </w:rPr>
        <w:t>Generalized additive models: an introduction with R</w:t>
      </w:r>
      <w:r>
        <w:t>. chapman and hall/CRC, 2017.</w:t>
      </w:r>
    </w:p>
    <w:sectPr w:rsidR="009034C6">
      <w:type w:val="continuous"/>
      <w:pgSz w:w="12240" w:h="15840"/>
      <w:pgMar w:top="1392" w:right="1662" w:bottom="1360" w:left="167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BD3E1" w14:textId="77777777" w:rsidR="00FF1AC2" w:rsidRDefault="00FF1AC2">
      <w:pPr>
        <w:spacing w:after="0" w:line="240" w:lineRule="auto"/>
      </w:pPr>
      <w:r>
        <w:separator/>
      </w:r>
    </w:p>
  </w:endnote>
  <w:endnote w:type="continuationSeparator" w:id="0">
    <w:p w14:paraId="36C51F58" w14:textId="77777777" w:rsidR="00FF1AC2" w:rsidRDefault="00FF1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E2E11" w14:textId="77777777" w:rsidR="009034C6" w:rsidRDefault="009034C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1DD9" w14:textId="77777777" w:rsidR="009034C6" w:rsidRDefault="00784AE8">
    <w:pPr>
      <w:spacing w:after="0" w:line="259" w:lineRule="auto"/>
      <w:ind w:left="0" w:right="15" w:firstLine="0"/>
      <w:jc w:val="center"/>
    </w:pPr>
    <w:r>
      <w:fldChar w:fldCharType="begin"/>
    </w:r>
    <w:r>
      <w:instrText xml:space="preserve"> PAGE   \* MERGEFORMAT </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E9D35" w14:textId="77777777" w:rsidR="009034C6" w:rsidRDefault="009034C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3A777" w14:textId="77777777" w:rsidR="009034C6" w:rsidRDefault="009034C6">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7B7E" w14:textId="77777777" w:rsidR="009034C6" w:rsidRDefault="009034C6">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B0512" w14:textId="77777777" w:rsidR="009034C6" w:rsidRDefault="009034C6">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D414" w14:textId="77777777" w:rsidR="009034C6" w:rsidRDefault="00784AE8">
    <w:pPr>
      <w:spacing w:after="0" w:line="259" w:lineRule="auto"/>
      <w:ind w:left="0" w:firstLine="0"/>
      <w:jc w:val="center"/>
    </w:pPr>
    <w:r>
      <w:fldChar w:fldCharType="begin"/>
    </w:r>
    <w:r>
      <w:instrText xml:space="preserve"> PAGE   \* MERGEFORMAT </w:instrText>
    </w:r>
    <w:r>
      <w:fldChar w:fldCharType="separate"/>
    </w:r>
    <w:r>
      <w:t>3</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8AD25" w14:textId="77777777" w:rsidR="009034C6" w:rsidRDefault="00784AE8">
    <w:pPr>
      <w:spacing w:after="0" w:line="259" w:lineRule="auto"/>
      <w:ind w:left="0" w:firstLine="0"/>
      <w:jc w:val="center"/>
    </w:pPr>
    <w:r>
      <w:fldChar w:fldCharType="begin"/>
    </w:r>
    <w:r>
      <w:instrText xml:space="preserve"> PAGE   \* MERGEFORMAT </w:instrText>
    </w:r>
    <w:r>
      <w:fldChar w:fldCharType="separate"/>
    </w:r>
    <w:r>
      <w:t>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AF8A7" w14:textId="77777777" w:rsidR="009034C6" w:rsidRDefault="00784AE8">
    <w:pPr>
      <w:spacing w:after="0" w:line="259" w:lineRule="auto"/>
      <w:ind w:left="0" w:firstLine="0"/>
      <w:jc w:val="center"/>
    </w:pPr>
    <w:r>
      <w:fldChar w:fldCharType="begin"/>
    </w:r>
    <w:r>
      <w:instrText xml:space="preserve"> PAGE   \* MERGEFORMAT </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22479" w14:textId="77777777" w:rsidR="00FF1AC2" w:rsidRDefault="00FF1AC2">
      <w:pPr>
        <w:spacing w:after="0" w:line="240" w:lineRule="auto"/>
      </w:pPr>
      <w:r>
        <w:separator/>
      </w:r>
    </w:p>
  </w:footnote>
  <w:footnote w:type="continuationSeparator" w:id="0">
    <w:p w14:paraId="1C1EE545" w14:textId="77777777" w:rsidR="00FF1AC2" w:rsidRDefault="00FF1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441F"/>
    <w:multiLevelType w:val="hybridMultilevel"/>
    <w:tmpl w:val="3F8680E8"/>
    <w:lvl w:ilvl="0" w:tplc="E3A02634">
      <w:start w:val="1"/>
      <w:numFmt w:val="decimal"/>
      <w:lvlText w:val="%1."/>
      <w:lvlJc w:val="left"/>
      <w:pPr>
        <w:ind w:left="5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53A7A04">
      <w:start w:val="1"/>
      <w:numFmt w:val="lowerLetter"/>
      <w:lvlText w:val="%2"/>
      <w:lvlJc w:val="left"/>
      <w:pPr>
        <w:ind w:left="13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C967DA2">
      <w:start w:val="1"/>
      <w:numFmt w:val="lowerRoman"/>
      <w:lvlText w:val="%3"/>
      <w:lvlJc w:val="left"/>
      <w:pPr>
        <w:ind w:left="20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DC21760">
      <w:start w:val="1"/>
      <w:numFmt w:val="decimal"/>
      <w:lvlText w:val="%4"/>
      <w:lvlJc w:val="left"/>
      <w:pPr>
        <w:ind w:left="27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502CAE">
      <w:start w:val="1"/>
      <w:numFmt w:val="lowerLetter"/>
      <w:lvlText w:val="%5"/>
      <w:lvlJc w:val="left"/>
      <w:pPr>
        <w:ind w:left="34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44E781E">
      <w:start w:val="1"/>
      <w:numFmt w:val="lowerRoman"/>
      <w:lvlText w:val="%6"/>
      <w:lvlJc w:val="left"/>
      <w:pPr>
        <w:ind w:left="42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C6044D2">
      <w:start w:val="1"/>
      <w:numFmt w:val="decimal"/>
      <w:lvlText w:val="%7"/>
      <w:lvlJc w:val="left"/>
      <w:pPr>
        <w:ind w:left="49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598972C">
      <w:start w:val="1"/>
      <w:numFmt w:val="lowerLetter"/>
      <w:lvlText w:val="%8"/>
      <w:lvlJc w:val="left"/>
      <w:pPr>
        <w:ind w:left="56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9ECF7B0">
      <w:start w:val="1"/>
      <w:numFmt w:val="lowerRoman"/>
      <w:lvlText w:val="%9"/>
      <w:lvlJc w:val="left"/>
      <w:pPr>
        <w:ind w:left="6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0620E6C"/>
    <w:multiLevelType w:val="hybridMultilevel"/>
    <w:tmpl w:val="114288F2"/>
    <w:lvl w:ilvl="0" w:tplc="15EA0156">
      <w:start w:val="1"/>
      <w:numFmt w:val="bullet"/>
      <w:lvlText w:val="•"/>
      <w:lvlJc w:val="left"/>
      <w:pPr>
        <w:ind w:left="5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6F0B72E">
      <w:start w:val="1"/>
      <w:numFmt w:val="bullet"/>
      <w:lvlText w:val="o"/>
      <w:lvlJc w:val="left"/>
      <w:pPr>
        <w:ind w:left="1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834DEE8">
      <w:start w:val="1"/>
      <w:numFmt w:val="bullet"/>
      <w:lvlText w:val="▪"/>
      <w:lvlJc w:val="left"/>
      <w:pPr>
        <w:ind w:left="2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ED08BD2">
      <w:start w:val="1"/>
      <w:numFmt w:val="bullet"/>
      <w:lvlText w:val="•"/>
      <w:lvlJc w:val="left"/>
      <w:pPr>
        <w:ind w:left="2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A9664B0">
      <w:start w:val="1"/>
      <w:numFmt w:val="bullet"/>
      <w:lvlText w:val="o"/>
      <w:lvlJc w:val="left"/>
      <w:pPr>
        <w:ind w:left="3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4A49166">
      <w:start w:val="1"/>
      <w:numFmt w:val="bullet"/>
      <w:lvlText w:val="▪"/>
      <w:lvlJc w:val="left"/>
      <w:pPr>
        <w:ind w:left="4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B0BFD0">
      <w:start w:val="1"/>
      <w:numFmt w:val="bullet"/>
      <w:lvlText w:val="•"/>
      <w:lvlJc w:val="left"/>
      <w:pPr>
        <w:ind w:left="49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EA6DC7C">
      <w:start w:val="1"/>
      <w:numFmt w:val="bullet"/>
      <w:lvlText w:val="o"/>
      <w:lvlJc w:val="left"/>
      <w:pPr>
        <w:ind w:left="56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F22C416">
      <w:start w:val="1"/>
      <w:numFmt w:val="bullet"/>
      <w:lvlText w:val="▪"/>
      <w:lvlJc w:val="left"/>
      <w:pPr>
        <w:ind w:left="63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F781D6F"/>
    <w:multiLevelType w:val="multilevel"/>
    <w:tmpl w:val="B88A0D74"/>
    <w:lvl w:ilvl="0">
      <w:start w:val="1"/>
      <w:numFmt w:val="decimal"/>
      <w:pStyle w:val="Heading1"/>
      <w:lvlText w:val="%1."/>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4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FDA7067"/>
    <w:multiLevelType w:val="hybridMultilevel"/>
    <w:tmpl w:val="C4B61EC8"/>
    <w:lvl w:ilvl="0" w:tplc="43CA0D7C">
      <w:start w:val="1"/>
      <w:numFmt w:val="decimal"/>
      <w:lvlText w:val="%1."/>
      <w:lvlJc w:val="left"/>
      <w:pPr>
        <w:ind w:left="5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AA009F6">
      <w:start w:val="1"/>
      <w:numFmt w:val="lowerLetter"/>
      <w:lvlText w:val="%2"/>
      <w:lvlJc w:val="left"/>
      <w:pPr>
        <w:ind w:left="1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5C67EEE">
      <w:start w:val="1"/>
      <w:numFmt w:val="lowerRoman"/>
      <w:lvlText w:val="%3"/>
      <w:lvlJc w:val="left"/>
      <w:pPr>
        <w:ind w:left="20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8608B20">
      <w:start w:val="1"/>
      <w:numFmt w:val="decimal"/>
      <w:lvlText w:val="%4"/>
      <w:lvlJc w:val="left"/>
      <w:pPr>
        <w:ind w:left="27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A960AB0">
      <w:start w:val="1"/>
      <w:numFmt w:val="lowerLetter"/>
      <w:lvlText w:val="%5"/>
      <w:lvlJc w:val="left"/>
      <w:pPr>
        <w:ind w:left="34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FE66200">
      <w:start w:val="1"/>
      <w:numFmt w:val="lowerRoman"/>
      <w:lvlText w:val="%6"/>
      <w:lvlJc w:val="left"/>
      <w:pPr>
        <w:ind w:left="42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E0E2A9E">
      <w:start w:val="1"/>
      <w:numFmt w:val="decimal"/>
      <w:lvlText w:val="%7"/>
      <w:lvlJc w:val="left"/>
      <w:pPr>
        <w:ind w:left="49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81CC72C">
      <w:start w:val="1"/>
      <w:numFmt w:val="lowerLetter"/>
      <w:lvlText w:val="%8"/>
      <w:lvlJc w:val="left"/>
      <w:pPr>
        <w:ind w:left="56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9BEDE54">
      <w:start w:val="1"/>
      <w:numFmt w:val="lowerRoman"/>
      <w:lvlText w:val="%9"/>
      <w:lvlJc w:val="left"/>
      <w:pPr>
        <w:ind w:left="63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D202CF4"/>
    <w:multiLevelType w:val="hybridMultilevel"/>
    <w:tmpl w:val="A928FFCE"/>
    <w:lvl w:ilvl="0" w:tplc="1054E42A">
      <w:start w:val="1"/>
      <w:numFmt w:val="decimal"/>
      <w:lvlText w:val="[%1]"/>
      <w:lvlJc w:val="left"/>
      <w:pPr>
        <w:ind w:left="4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2CAAEE">
      <w:start w:val="1"/>
      <w:numFmt w:val="lowerLetter"/>
      <w:lvlText w:val="%2"/>
      <w:lvlJc w:val="left"/>
      <w:pPr>
        <w:ind w:left="11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A9AC71E">
      <w:start w:val="1"/>
      <w:numFmt w:val="lowerRoman"/>
      <w:lvlText w:val="%3"/>
      <w:lvlJc w:val="left"/>
      <w:pPr>
        <w:ind w:left="18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224A0FC">
      <w:start w:val="1"/>
      <w:numFmt w:val="decimal"/>
      <w:lvlText w:val="%4"/>
      <w:lvlJc w:val="left"/>
      <w:pPr>
        <w:ind w:left="25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D875EC">
      <w:start w:val="1"/>
      <w:numFmt w:val="lowerLetter"/>
      <w:lvlText w:val="%5"/>
      <w:lvlJc w:val="left"/>
      <w:pPr>
        <w:ind w:left="3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3CB65E">
      <w:start w:val="1"/>
      <w:numFmt w:val="lowerRoman"/>
      <w:lvlText w:val="%6"/>
      <w:lvlJc w:val="left"/>
      <w:pPr>
        <w:ind w:left="39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BAED46">
      <w:start w:val="1"/>
      <w:numFmt w:val="decimal"/>
      <w:lvlText w:val="%7"/>
      <w:lvlJc w:val="left"/>
      <w:pPr>
        <w:ind w:left="4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C782D6E">
      <w:start w:val="1"/>
      <w:numFmt w:val="lowerLetter"/>
      <w:lvlText w:val="%8"/>
      <w:lvlJc w:val="left"/>
      <w:pPr>
        <w:ind w:left="5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C828B68">
      <w:start w:val="1"/>
      <w:numFmt w:val="lowerRoman"/>
      <w:lvlText w:val="%9"/>
      <w:lvlJc w:val="left"/>
      <w:pPr>
        <w:ind w:left="6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DE712D7"/>
    <w:multiLevelType w:val="hybridMultilevel"/>
    <w:tmpl w:val="EBAE0068"/>
    <w:lvl w:ilvl="0" w:tplc="0A8A99CE">
      <w:start w:val="1"/>
      <w:numFmt w:val="lowerRoman"/>
      <w:lvlText w:val="(%1)"/>
      <w:lvlJc w:val="left"/>
      <w:pPr>
        <w:ind w:left="5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53E5AF8">
      <w:start w:val="1"/>
      <w:numFmt w:val="lowerLetter"/>
      <w:lvlText w:val="%2"/>
      <w:lvlJc w:val="left"/>
      <w:pPr>
        <w:ind w:left="12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160959E">
      <w:start w:val="1"/>
      <w:numFmt w:val="lowerRoman"/>
      <w:lvlText w:val="%3"/>
      <w:lvlJc w:val="left"/>
      <w:pPr>
        <w:ind w:left="19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28A0282">
      <w:start w:val="1"/>
      <w:numFmt w:val="decimal"/>
      <w:lvlText w:val="%4"/>
      <w:lvlJc w:val="left"/>
      <w:pPr>
        <w:ind w:left="26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838646E">
      <w:start w:val="1"/>
      <w:numFmt w:val="lowerLetter"/>
      <w:lvlText w:val="%5"/>
      <w:lvlJc w:val="left"/>
      <w:pPr>
        <w:ind w:left="33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6F826C2">
      <w:start w:val="1"/>
      <w:numFmt w:val="lowerRoman"/>
      <w:lvlText w:val="%6"/>
      <w:lvlJc w:val="left"/>
      <w:pPr>
        <w:ind w:left="40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DA6362E">
      <w:start w:val="1"/>
      <w:numFmt w:val="decimal"/>
      <w:lvlText w:val="%7"/>
      <w:lvlJc w:val="left"/>
      <w:pPr>
        <w:ind w:left="48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E5805BA">
      <w:start w:val="1"/>
      <w:numFmt w:val="lowerLetter"/>
      <w:lvlText w:val="%8"/>
      <w:lvlJc w:val="left"/>
      <w:pPr>
        <w:ind w:left="5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5ACC684">
      <w:start w:val="1"/>
      <w:numFmt w:val="lowerRoman"/>
      <w:lvlText w:val="%9"/>
      <w:lvlJc w:val="left"/>
      <w:pPr>
        <w:ind w:left="6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5"/>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4C6"/>
    <w:rsid w:val="000748A0"/>
    <w:rsid w:val="00134322"/>
    <w:rsid w:val="00210A5E"/>
    <w:rsid w:val="00246E9A"/>
    <w:rsid w:val="00387CEF"/>
    <w:rsid w:val="00403E41"/>
    <w:rsid w:val="004D4864"/>
    <w:rsid w:val="00784AE8"/>
    <w:rsid w:val="008A05BF"/>
    <w:rsid w:val="009034C6"/>
    <w:rsid w:val="00947193"/>
    <w:rsid w:val="00B52CDD"/>
    <w:rsid w:val="00D264D6"/>
    <w:rsid w:val="00F65663"/>
    <w:rsid w:val="00FF1AC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5F9B4"/>
  <w15:docId w15:val="{14A0044D-E2FA-3846-9014-45684BCD0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6" w:right="11" w:firstLine="30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6"/>
      </w:numPr>
      <w:spacing w:after="154" w:line="259" w:lineRule="auto"/>
      <w:ind w:left="25"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numPr>
        <w:ilvl w:val="1"/>
        <w:numId w:val="6"/>
      </w:numPr>
      <w:spacing w:after="41" w:line="253" w:lineRule="auto"/>
      <w:ind w:left="38" w:hanging="10"/>
      <w:outlineLvl w:val="1"/>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0"/>
    </w:rPr>
  </w:style>
  <w:style w:type="character" w:customStyle="1" w:styleId="Heading1Char">
    <w:name w:val="Heading 1 Char"/>
    <w:link w:val="Heading1"/>
    <w:rPr>
      <w:rFonts w:ascii="Calibri" w:eastAsia="Calibri" w:hAnsi="Calibri" w:cs="Calibri"/>
      <w:b/>
      <w:color w:val="000000"/>
      <w:sz w:val="20"/>
    </w:rPr>
  </w:style>
  <w:style w:type="table" w:customStyle="1" w:styleId="TableGrid">
    <w:name w:val="TableGrid"/>
    <w:tblPr>
      <w:tblCellMar>
        <w:top w:w="0" w:type="dxa"/>
        <w:left w:w="0" w:type="dxa"/>
        <w:bottom w:w="0" w:type="dxa"/>
        <w:right w:w="0" w:type="dxa"/>
      </w:tblCellMar>
    </w:tblPr>
  </w:style>
  <w:style w:type="character" w:styleId="PlaceholderText">
    <w:name w:val="Placeholder Text"/>
    <w:basedOn w:val="DefaultParagraphFont"/>
    <w:uiPriority w:val="99"/>
    <w:semiHidden/>
    <w:rsid w:val="00F656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openforecast.org/adam/" TargetMode="External"/><Relationship Id="rId21" Type="http://schemas.openxmlformats.org/officeDocument/2006/relationships/footer" Target="footer8.xml"/><Relationship Id="rId34" Type="http://schemas.openxmlformats.org/officeDocument/2006/relationships/hyperlink" Target="https://github.com/config-i1/greybox" TargetMode="External"/><Relationship Id="rId42" Type="http://schemas.openxmlformats.org/officeDocument/2006/relationships/hyperlink" Target="https://www.bbc.co.uk/news/uk-wales-4327484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sciencedirect.com/science/article/pii/S07356757210036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7.png"/><Relationship Id="rId32" Type="http://schemas.openxmlformats.org/officeDocument/2006/relationships/hyperlink" Target="http://pkg.robjhyndman.com/forecast" TargetMode="External"/><Relationship Id="rId37" Type="http://schemas.openxmlformats.org/officeDocument/2006/relationships/hyperlink" Target="https://github.com/config-i1/smooth" TargetMode="External"/><Relationship Id="rId40" Type="http://schemas.openxmlformats.org/officeDocument/2006/relationships/hyperlink" Target="https://openforecast.org/ada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6.png"/><Relationship Id="rId28" Type="http://schemas.openxmlformats.org/officeDocument/2006/relationships/hyperlink" Target="https://www.sciencedirect.com/science/article/pii/S0735675721003600" TargetMode="External"/><Relationship Id="rId36" Type="http://schemas.openxmlformats.org/officeDocument/2006/relationships/hyperlink" Target="https://github.com/config-i1/smooth" TargetMode="Externa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hyperlink" Target="http://pkg.robjhyndman.com/forecas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footer" Target="footer9.xml"/><Relationship Id="rId27" Type="http://schemas.openxmlformats.org/officeDocument/2006/relationships/image" Target="media/image11.png"/><Relationship Id="rId30" Type="http://schemas.openxmlformats.org/officeDocument/2006/relationships/hyperlink" Target="https://CRAN.R-project.org/package=gbm" TargetMode="External"/><Relationship Id="rId35" Type="http://schemas.openxmlformats.org/officeDocument/2006/relationships/hyperlink" Target="https://github.com/config-i1/greybox" TargetMode="External"/><Relationship Id="rId43" Type="http://schemas.openxmlformats.org/officeDocument/2006/relationships/hyperlink" Target="https://www.bbc.co.uk/news/uk-wales-43274844"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fable.tidyverts.org/" TargetMode="External"/><Relationship Id="rId38" Type="http://schemas.openxmlformats.org/officeDocument/2006/relationships/hyperlink" Target="https://openforecast.org/adam/" TargetMode="External"/><Relationship Id="rId20" Type="http://schemas.openxmlformats.org/officeDocument/2006/relationships/footer" Target="footer7.xml"/><Relationship Id="rId41"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696FB-54D6-1B49-BB5B-42B97CBFD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20</Pages>
  <Words>8576</Words>
  <Characters>48888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Probabilistic forecasting of hourly Emergency Department arrivals</vt:lpstr>
    </vt:vector>
  </TitlesOfParts>
  <Company/>
  <LinksUpToDate>false</LinksUpToDate>
  <CharactersWithSpaces>57350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Probabilistic forecasting of hourly Emergency Department arrivals</dc:title>
  <dc:subject/>
  <dc:creator>Bahman Rostami-Tabar</dc:creator>
  <cp:keywords/>
  <cp:lastModifiedBy>Bahman Rostami-Tabar</cp:lastModifiedBy>
  <cp:revision>6</cp:revision>
  <dcterms:created xsi:type="dcterms:W3CDTF">2022-02-11T19:10:00Z</dcterms:created>
  <dcterms:modified xsi:type="dcterms:W3CDTF">2022-02-11T20:25:00Z</dcterms:modified>
</cp:coreProperties>
</file>