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</w:pPr>
      <w:r>
        <w:t xml:space="preserve">Proves a dimension-free bound (Theorem 1) on PCA spectral collapse.</w:t>
      </w:r>
    </w:p>
    <w:p>
      <w:pPr>
        <w:pStyle w:val="ListParagraph"/>
        <w:numPr>
          <w:ilvl w:val="0"/>
          <w:numId w:val="1"/>
        </w:numPr>
      </w:pPr>
      <w:r>
        <w:t xml:space="preserve">Deep clustering (DEC/IDEC) sharpens, not resolves, the multi-mechanism blind spot.</w:t>
      </w:r>
    </w:p>
    <w:p>
      <w:pPr>
        <w:pStyle w:val="ListParagraph"/>
        <w:numPr>
          <w:ilvl w:val="0"/>
          <w:numId w:val="1"/>
        </w:numPr>
      </w:pPr>
      <w:r>
        <w:t xml:space="preserve">Confirms predicted spectral collapse on real CIC-IDS2017 network-traffic data.</w:t>
      </w:r>
    </w:p>
    <w:p>
      <w:pPr>
        <w:pStyle w:val="ListParagraph"/>
        <w:numPr>
          <w:ilvl w:val="0"/>
          <w:numId w:val="1"/>
        </w:numPr>
      </w:pPr>
      <w:r>
        <w:t xml:space="preserve">Invariant Coordinate Selection routes to relational structure at 100% (N=80).</w:t>
      </w:r>
    </w:p>
    <w:p>
      <w:pPr>
        <w:pStyle w:val="ListParagraph"/>
        <w:numPr>
          <w:ilvl w:val="0"/>
          <w:numId w:val="1"/>
        </w:numPr>
      </w:pPr>
      <w:r>
        <w:t xml:space="preserve">Silhouette stays falsely confident (~0.38) while true recovery collapses near zero.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2026-08-03T05:11:59.805Z</dcterms:created>
  <dcterms:modified xsi:type="dcterms:W3CDTF">2026-08-03T05:11:59.816Z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