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E021" w14:textId="107BB4C9" w:rsidR="00EB6457" w:rsidRDefault="00A278CA">
      <w:r>
        <w:t>Hypothesis:</w:t>
      </w:r>
    </w:p>
    <w:p w14:paraId="66994F66" w14:textId="67FC675C" w:rsidR="00A278CA" w:rsidRDefault="00AD0534">
      <w:r>
        <w:t>Analysis unemployment rate of Georgia‘s counties from 2017 - 2021</w:t>
      </w:r>
    </w:p>
    <w:sectPr w:rsidR="00A278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2D5"/>
    <w:rsid w:val="00120969"/>
    <w:rsid w:val="00192D6B"/>
    <w:rsid w:val="008442D5"/>
    <w:rsid w:val="009231C8"/>
    <w:rsid w:val="00A278CA"/>
    <w:rsid w:val="00AD0534"/>
    <w:rsid w:val="00CF2067"/>
    <w:rsid w:val="00EB6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3CC0"/>
  <w15:chartTrackingRefBased/>
  <w15:docId w15:val="{98D432B2-7AA7-4D4B-9992-C998A828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13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2</cp:revision>
  <dcterms:created xsi:type="dcterms:W3CDTF">2026-02-23T05:36:00Z</dcterms:created>
  <dcterms:modified xsi:type="dcterms:W3CDTF">2026-02-23T06:28:00Z</dcterms:modified>
</cp:coreProperties>
</file>