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color w:val="45818E"/>
          <w:w w:val="110"/>
          <w:u w:val="thick" w:color="45818E"/>
        </w:rPr>
        <w:t>Erratas</w:t>
      </w:r>
      <w:r>
        <w:rPr>
          <w:color w:val="45818E"/>
          <w:spacing w:val="-20"/>
          <w:w w:val="110"/>
          <w:u w:val="thick" w:color="45818E"/>
        </w:rPr>
        <w:t> </w:t>
      </w:r>
      <w:r>
        <w:rPr>
          <w:color w:val="45818E"/>
          <w:w w:val="110"/>
          <w:u w:val="thick" w:color="45818E"/>
        </w:rPr>
        <w:t>du</w:t>
      </w:r>
      <w:r>
        <w:rPr>
          <w:color w:val="45818E"/>
          <w:spacing w:val="-19"/>
          <w:w w:val="110"/>
          <w:u w:val="thick" w:color="45818E"/>
        </w:rPr>
        <w:t> </w:t>
      </w:r>
      <w:r>
        <w:rPr>
          <w:color w:val="45818E"/>
          <w:w w:val="110"/>
          <w:u w:val="thick" w:color="45818E"/>
        </w:rPr>
        <w:t>tuto</w:t>
      </w:r>
      <w:r>
        <w:rPr>
          <w:color w:val="45818E"/>
          <w:spacing w:val="-19"/>
          <w:w w:val="110"/>
          <w:u w:val="thick" w:color="45818E"/>
        </w:rPr>
        <w:t> </w:t>
      </w:r>
      <w:r>
        <w:rPr>
          <w:color w:val="45818E"/>
          <w:w w:val="110"/>
          <w:u w:val="thick" w:color="45818E"/>
        </w:rPr>
        <w:t>1</w:t>
      </w:r>
      <w:r>
        <w:rPr>
          <w:color w:val="45818E"/>
          <w:spacing w:val="-19"/>
          <w:w w:val="110"/>
          <w:u w:val="thick" w:color="45818E"/>
        </w:rPr>
        <w:t> </w:t>
      </w:r>
      <w:r>
        <w:rPr>
          <w:color w:val="45818E"/>
          <w:w w:val="110"/>
          <w:u w:val="thick" w:color="45818E"/>
        </w:rPr>
        <w:t>de</w:t>
      </w:r>
      <w:r>
        <w:rPr>
          <w:color w:val="45818E"/>
          <w:spacing w:val="-19"/>
          <w:w w:val="110"/>
          <w:u w:val="thick" w:color="45818E"/>
        </w:rPr>
        <w:t> </w:t>
      </w:r>
      <w:r>
        <w:rPr>
          <w:color w:val="45818E"/>
          <w:w w:val="110"/>
          <w:u w:val="thick" w:color="45818E"/>
        </w:rPr>
        <w:t>biocell</w:t>
      </w:r>
      <w:r>
        <w:rPr>
          <w:color w:val="45818E"/>
          <w:spacing w:val="-19"/>
          <w:w w:val="110"/>
          <w:u w:val="thick" w:color="45818E"/>
        </w:rPr>
        <w:t> </w:t>
      </w:r>
      <w:r>
        <w:rPr>
          <w:color w:val="45818E"/>
          <w:w w:val="110"/>
          <w:u w:val="thick" w:color="45818E"/>
        </w:rPr>
        <w:t>2024-</w:t>
      </w:r>
      <w:r>
        <w:rPr>
          <w:color w:val="45818E"/>
          <w:spacing w:val="-4"/>
          <w:w w:val="110"/>
          <w:u w:val="thick" w:color="45818E"/>
        </w:rPr>
        <w:t>2025</w:t>
      </w:r>
    </w:p>
    <w:p>
      <w:pPr>
        <w:pStyle w:val="BodyText"/>
        <w:spacing w:before="285"/>
        <w:jc w:val="left"/>
        <w:rPr>
          <w:rFonts w:ascii="Times New Roman"/>
          <w:b/>
          <w:sz w:val="30"/>
        </w:rPr>
      </w:pPr>
    </w:p>
    <w:p>
      <w:pPr>
        <w:pStyle w:val="Heading2"/>
      </w:pPr>
      <w:r>
        <w:rPr>
          <w:color w:val="CC0000"/>
        </w:rPr>
        <w:t>ERRATA</w:t>
      </w:r>
      <w:r>
        <w:rPr>
          <w:color w:val="CC0000"/>
          <w:spacing w:val="11"/>
        </w:rPr>
        <w:t> </w:t>
      </w:r>
      <w:r>
        <w:rPr>
          <w:color w:val="CC0000"/>
        </w:rPr>
        <w:t>EXERCICE</w:t>
      </w:r>
      <w:r>
        <w:rPr>
          <w:color w:val="CC0000"/>
          <w:spacing w:val="11"/>
        </w:rPr>
        <w:t> </w:t>
      </w:r>
      <w:r>
        <w:rPr>
          <w:color w:val="CC0000"/>
          <w:spacing w:val="-10"/>
        </w:rPr>
        <w:t>:</w:t>
      </w:r>
    </w:p>
    <w:p>
      <w:pPr>
        <w:pStyle w:val="BodyText"/>
        <w:spacing w:line="312" w:lineRule="auto" w:before="125"/>
      </w:pPr>
      <w:r>
        <w:rPr>
          <w:color w:val="CC0000"/>
        </w:rPr>
        <w:t>La protéine ERK n’est pas au programme</w:t>
      </w:r>
      <w:r>
        <w:rPr>
          <w:color w:val="CC0000"/>
          <w:spacing w:val="-9"/>
        </w:rPr>
        <w:t> </w:t>
      </w:r>
      <w:r>
        <w:rPr>
          <w:color w:val="CC0000"/>
        </w:rPr>
        <w:t>du</w:t>
      </w:r>
      <w:r>
        <w:rPr>
          <w:color w:val="CC0000"/>
          <w:spacing w:val="-9"/>
        </w:rPr>
        <w:t> </w:t>
      </w:r>
      <w:r>
        <w:rPr>
          <w:color w:val="CC0000"/>
        </w:rPr>
        <w:t>chapitre</w:t>
      </w:r>
      <w:r>
        <w:rPr>
          <w:color w:val="CC0000"/>
          <w:spacing w:val="-9"/>
        </w:rPr>
        <w:t> </w:t>
      </w:r>
      <w:r>
        <w:rPr>
          <w:color w:val="CC0000"/>
        </w:rPr>
        <w:t>“signalisation”</w:t>
      </w:r>
      <w:r>
        <w:rPr>
          <w:color w:val="CC0000"/>
          <w:spacing w:val="-9"/>
        </w:rPr>
        <w:t> </w:t>
      </w:r>
      <w:r>
        <w:rPr>
          <w:color w:val="CC0000"/>
        </w:rPr>
        <w:t>cette</w:t>
      </w:r>
      <w:r>
        <w:rPr>
          <w:color w:val="CC0000"/>
          <w:spacing w:val="-9"/>
        </w:rPr>
        <w:t> </w:t>
      </w:r>
      <w:r>
        <w:rPr>
          <w:color w:val="CC0000"/>
        </w:rPr>
        <w:t>année. Ainsi, l’exercice</w:t>
      </w:r>
      <w:r>
        <w:rPr>
          <w:color w:val="CC0000"/>
          <w:spacing w:val="-10"/>
        </w:rPr>
        <w:t> </w:t>
      </w:r>
      <w:r>
        <w:rPr>
          <w:color w:val="CC0000"/>
        </w:rPr>
        <w:t>du</w:t>
      </w:r>
      <w:r>
        <w:rPr>
          <w:color w:val="CC0000"/>
          <w:spacing w:val="-10"/>
        </w:rPr>
        <w:t> </w:t>
      </w:r>
      <w:r>
        <w:rPr>
          <w:color w:val="CC0000"/>
        </w:rPr>
        <w:t>tuto</w:t>
      </w:r>
      <w:r>
        <w:rPr>
          <w:color w:val="CC0000"/>
          <w:spacing w:val="-10"/>
        </w:rPr>
        <w:t> </w:t>
      </w:r>
      <w:r>
        <w:rPr>
          <w:color w:val="CC0000"/>
        </w:rPr>
        <w:t>1</w:t>
      </w:r>
      <w:r>
        <w:rPr>
          <w:color w:val="CC0000"/>
          <w:spacing w:val="-10"/>
        </w:rPr>
        <w:t> </w:t>
      </w:r>
      <w:r>
        <w:rPr>
          <w:color w:val="CC0000"/>
        </w:rPr>
        <w:t>est</w:t>
      </w:r>
      <w:r>
        <w:rPr>
          <w:color w:val="CC0000"/>
          <w:spacing w:val="-10"/>
        </w:rPr>
        <w:t> </w:t>
      </w:r>
      <w:r>
        <w:rPr>
          <w:color w:val="CC0000"/>
        </w:rPr>
        <w:t>partiellement</w:t>
      </w:r>
      <w:r>
        <w:rPr>
          <w:color w:val="CC0000"/>
          <w:spacing w:val="-10"/>
        </w:rPr>
        <w:t> </w:t>
      </w:r>
      <w:r>
        <w:rPr>
          <w:color w:val="CC0000"/>
        </w:rPr>
        <w:t>hors</w:t>
      </w:r>
      <w:r>
        <w:rPr>
          <w:color w:val="CC0000"/>
          <w:spacing w:val="-10"/>
        </w:rPr>
        <w:t> </w:t>
      </w:r>
      <w:r>
        <w:rPr>
          <w:color w:val="CC0000"/>
        </w:rPr>
        <w:t>programme</w:t>
      </w:r>
      <w:r>
        <w:rPr>
          <w:color w:val="CC0000"/>
          <w:spacing w:val="-10"/>
        </w:rPr>
        <w:t> </w:t>
      </w:r>
      <w:r>
        <w:rPr>
          <w:color w:val="CC0000"/>
        </w:rPr>
        <w:t>(nous</w:t>
      </w:r>
      <w:r>
        <w:rPr>
          <w:color w:val="CC0000"/>
          <w:spacing w:val="-10"/>
        </w:rPr>
        <w:t> </w:t>
      </w:r>
      <w:r>
        <w:rPr>
          <w:color w:val="CC0000"/>
        </w:rPr>
        <w:t>avons</w:t>
      </w:r>
      <w:r>
        <w:rPr>
          <w:color w:val="CC0000"/>
          <w:spacing w:val="-10"/>
        </w:rPr>
        <w:t> </w:t>
      </w:r>
      <w:r>
        <w:rPr>
          <w:color w:val="CC0000"/>
        </w:rPr>
        <w:t>rédigé</w:t>
      </w:r>
      <w:r>
        <w:rPr>
          <w:color w:val="CC0000"/>
          <w:spacing w:val="-10"/>
        </w:rPr>
        <w:t> </w:t>
      </w:r>
      <w:r>
        <w:rPr>
          <w:color w:val="CC0000"/>
        </w:rPr>
        <w:t>le tuto</w:t>
      </w:r>
      <w:r>
        <w:rPr>
          <w:color w:val="CC0000"/>
          <w:spacing w:val="-8"/>
        </w:rPr>
        <w:t> </w:t>
      </w:r>
      <w:r>
        <w:rPr>
          <w:color w:val="CC0000"/>
        </w:rPr>
        <w:t>1</w:t>
      </w:r>
      <w:r>
        <w:rPr>
          <w:color w:val="CC0000"/>
          <w:spacing w:val="-8"/>
        </w:rPr>
        <w:t> </w:t>
      </w:r>
      <w:r>
        <w:rPr>
          <w:color w:val="CC0000"/>
        </w:rPr>
        <w:t>cet</w:t>
      </w:r>
      <w:r>
        <w:rPr>
          <w:color w:val="CC0000"/>
          <w:spacing w:val="-8"/>
        </w:rPr>
        <w:t> </w:t>
      </w:r>
      <w:r>
        <w:rPr>
          <w:color w:val="CC0000"/>
        </w:rPr>
        <w:t>été</w:t>
      </w:r>
      <w:r>
        <w:rPr>
          <w:color w:val="CC0000"/>
          <w:spacing w:val="-8"/>
        </w:rPr>
        <w:t> </w:t>
      </w:r>
      <w:r>
        <w:rPr>
          <w:color w:val="CC0000"/>
        </w:rPr>
        <w:t>avec</w:t>
      </w:r>
      <w:r>
        <w:rPr>
          <w:color w:val="CC0000"/>
          <w:spacing w:val="-8"/>
        </w:rPr>
        <w:t> </w:t>
      </w:r>
      <w:r>
        <w:rPr>
          <w:color w:val="CC0000"/>
        </w:rPr>
        <w:t>les</w:t>
      </w:r>
      <w:r>
        <w:rPr>
          <w:color w:val="CC0000"/>
          <w:spacing w:val="-8"/>
        </w:rPr>
        <w:t> </w:t>
      </w:r>
      <w:r>
        <w:rPr>
          <w:color w:val="CC0000"/>
        </w:rPr>
        <w:t>polys</w:t>
      </w:r>
      <w:r>
        <w:rPr>
          <w:color w:val="CC0000"/>
          <w:spacing w:val="-8"/>
        </w:rPr>
        <w:t> </w:t>
      </w:r>
      <w:r>
        <w:rPr>
          <w:color w:val="CC0000"/>
        </w:rPr>
        <w:t>de</w:t>
      </w:r>
      <w:r>
        <w:rPr>
          <w:color w:val="CC0000"/>
          <w:spacing w:val="-8"/>
        </w:rPr>
        <w:t> </w:t>
      </w:r>
      <w:r>
        <w:rPr>
          <w:color w:val="CC0000"/>
        </w:rPr>
        <w:t>l’année</w:t>
      </w:r>
      <w:r>
        <w:rPr>
          <w:color w:val="CC0000"/>
          <w:spacing w:val="-8"/>
        </w:rPr>
        <w:t> </w:t>
      </w:r>
      <w:r>
        <w:rPr>
          <w:color w:val="CC0000"/>
        </w:rPr>
        <w:t>dernière,</w:t>
      </w:r>
      <w:r>
        <w:rPr>
          <w:color w:val="CC0000"/>
          <w:spacing w:val="-8"/>
        </w:rPr>
        <w:t> </w:t>
      </w:r>
      <w:r>
        <w:rPr>
          <w:color w:val="CC0000"/>
        </w:rPr>
        <w:t>nous</w:t>
      </w:r>
      <w:r>
        <w:rPr>
          <w:color w:val="CC0000"/>
          <w:spacing w:val="-8"/>
        </w:rPr>
        <w:t> </w:t>
      </w:r>
      <w:r>
        <w:rPr>
          <w:color w:val="CC0000"/>
        </w:rPr>
        <w:t>n’étions</w:t>
      </w:r>
      <w:r>
        <w:rPr>
          <w:color w:val="CC0000"/>
          <w:spacing w:val="-8"/>
        </w:rPr>
        <w:t> </w:t>
      </w:r>
      <w:r>
        <w:rPr>
          <w:color w:val="CC0000"/>
        </w:rPr>
        <w:t>donc</w:t>
      </w:r>
      <w:r>
        <w:rPr>
          <w:color w:val="CC0000"/>
          <w:spacing w:val="-8"/>
        </w:rPr>
        <w:t> </w:t>
      </w:r>
      <w:r>
        <w:rPr>
          <w:color w:val="CC0000"/>
        </w:rPr>
        <w:t>pas</w:t>
      </w:r>
      <w:r>
        <w:rPr>
          <w:color w:val="CC0000"/>
          <w:spacing w:val="-8"/>
        </w:rPr>
        <w:t> </w:t>
      </w:r>
      <w:r>
        <w:rPr>
          <w:color w:val="CC0000"/>
        </w:rPr>
        <w:t>au</w:t>
      </w:r>
      <w:r>
        <w:rPr>
          <w:color w:val="CC0000"/>
          <w:spacing w:val="-8"/>
        </w:rPr>
        <w:t> </w:t>
      </w:r>
      <w:r>
        <w:rPr>
          <w:color w:val="CC0000"/>
        </w:rPr>
        <w:t>courant de ce changement).</w:t>
      </w:r>
    </w:p>
    <w:p>
      <w:pPr>
        <w:pStyle w:val="BodyText"/>
        <w:spacing w:line="347" w:lineRule="exact"/>
      </w:pPr>
      <w:r>
        <w:rPr>
          <w:color w:val="CC0000"/>
          <w:spacing w:val="-2"/>
        </w:rPr>
        <w:t>Vous</w:t>
      </w:r>
      <w:r>
        <w:rPr>
          <w:color w:val="CC0000"/>
          <w:spacing w:val="-14"/>
        </w:rPr>
        <w:t> </w:t>
      </w:r>
      <w:r>
        <w:rPr>
          <w:color w:val="CC0000"/>
          <w:spacing w:val="-2"/>
        </w:rPr>
        <w:t>pouvez</w:t>
      </w:r>
      <w:r>
        <w:rPr>
          <w:color w:val="CC0000"/>
          <w:spacing w:val="-13"/>
        </w:rPr>
        <w:t> </w:t>
      </w:r>
      <w:r>
        <w:rPr>
          <w:color w:val="CC0000"/>
          <w:spacing w:val="-2"/>
        </w:rPr>
        <w:t>faire</w:t>
      </w:r>
      <w:r>
        <w:rPr>
          <w:color w:val="CC0000"/>
          <w:spacing w:val="-13"/>
        </w:rPr>
        <w:t> </w:t>
      </w:r>
      <w:r>
        <w:rPr>
          <w:color w:val="CC0000"/>
          <w:spacing w:val="-2"/>
        </w:rPr>
        <w:t>l’exercice</w:t>
      </w:r>
      <w:r>
        <w:rPr>
          <w:color w:val="CC0000"/>
          <w:spacing w:val="-13"/>
        </w:rPr>
        <w:t> </w:t>
      </w:r>
      <w:r>
        <w:rPr>
          <w:color w:val="CC0000"/>
          <w:spacing w:val="-2"/>
        </w:rPr>
        <w:t>en</w:t>
      </w:r>
      <w:r>
        <w:rPr>
          <w:color w:val="CC0000"/>
          <w:spacing w:val="-13"/>
        </w:rPr>
        <w:t> </w:t>
      </w:r>
      <w:r>
        <w:rPr>
          <w:color w:val="CC0000"/>
          <w:spacing w:val="-2"/>
        </w:rPr>
        <w:t>sachant</w:t>
      </w:r>
      <w:r>
        <w:rPr>
          <w:color w:val="CC0000"/>
          <w:spacing w:val="-13"/>
        </w:rPr>
        <w:t> </w:t>
      </w:r>
      <w:r>
        <w:rPr>
          <w:color w:val="CC0000"/>
          <w:spacing w:val="-2"/>
        </w:rPr>
        <w:t>(sans</w:t>
      </w:r>
      <w:r>
        <w:rPr>
          <w:color w:val="CC0000"/>
          <w:spacing w:val="-14"/>
        </w:rPr>
        <w:t> </w:t>
      </w:r>
      <w:r>
        <w:rPr>
          <w:color w:val="CC0000"/>
          <w:spacing w:val="-2"/>
        </w:rPr>
        <w:t>l’apprendre)</w:t>
      </w:r>
      <w:r>
        <w:rPr>
          <w:color w:val="CC0000"/>
          <w:spacing w:val="-13"/>
        </w:rPr>
        <w:t> </w:t>
      </w:r>
      <w:r>
        <w:rPr>
          <w:color w:val="CC0000"/>
          <w:spacing w:val="-2"/>
        </w:rPr>
        <w:t>que</w:t>
      </w:r>
      <w:r>
        <w:rPr>
          <w:color w:val="CC0000"/>
          <w:spacing w:val="-13"/>
        </w:rPr>
        <w:t> </w:t>
      </w:r>
      <w:r>
        <w:rPr>
          <w:color w:val="CC0000"/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12" w:lineRule="auto" w:before="105" w:after="0"/>
        <w:ind w:left="720" w:right="1" w:hanging="360"/>
        <w:jc w:val="both"/>
        <w:rPr>
          <w:sz w:val="26"/>
        </w:rPr>
      </w:pPr>
      <w:r>
        <w:rPr>
          <w:color w:val="CC0000"/>
          <w:sz w:val="26"/>
        </w:rPr>
        <w:t>ERK est une kinase (Mitogen-Associated-Protein</w:t>
      </w:r>
      <w:r>
        <w:rPr>
          <w:color w:val="CC0000"/>
          <w:sz w:val="26"/>
        </w:rPr>
        <w:t> Kinase = MAPK :</w:t>
      </w:r>
      <w:r>
        <w:rPr>
          <w:color w:val="CC0000"/>
          <w:spacing w:val="40"/>
          <w:sz w:val="26"/>
        </w:rPr>
        <w:t> </w:t>
      </w:r>
      <w:r>
        <w:rPr>
          <w:color w:val="CC0000"/>
          <w:sz w:val="26"/>
        </w:rPr>
        <w:t>protéine qui est un facteur mitogène donc qui génère la mitose donc qui induit la prolifération des cellules).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12" w:lineRule="auto" w:before="0" w:after="0"/>
        <w:ind w:left="720" w:right="5" w:hanging="360"/>
        <w:jc w:val="both"/>
        <w:rPr>
          <w:sz w:val="26"/>
        </w:rPr>
      </w:pPr>
      <w:r>
        <w:rPr>
          <w:color w:val="CC0000"/>
          <w:sz w:val="26"/>
        </w:rPr>
        <w:t>Elle est activée par Map par phosphorylation.</w:t>
      </w:r>
      <w:r>
        <w:rPr>
          <w:color w:val="CC0000"/>
          <w:spacing w:val="-9"/>
          <w:sz w:val="26"/>
        </w:rPr>
        <w:t> </w:t>
      </w:r>
      <w:r>
        <w:rPr>
          <w:color w:val="CC0000"/>
          <w:sz w:val="26"/>
        </w:rPr>
        <w:t>ERK</w:t>
      </w:r>
      <w:r>
        <w:rPr>
          <w:color w:val="CC0000"/>
          <w:spacing w:val="-8"/>
          <w:sz w:val="26"/>
        </w:rPr>
        <w:t> </w:t>
      </w:r>
      <w:r>
        <w:rPr>
          <w:color w:val="CC0000"/>
          <w:sz w:val="26"/>
        </w:rPr>
        <w:t>est</w:t>
      </w:r>
      <w:r>
        <w:rPr>
          <w:color w:val="CC0000"/>
          <w:spacing w:val="-8"/>
          <w:sz w:val="26"/>
        </w:rPr>
        <w:t> </w:t>
      </w:r>
      <w:r>
        <w:rPr>
          <w:color w:val="CC0000"/>
          <w:sz w:val="26"/>
        </w:rPr>
        <w:t>donc</w:t>
      </w:r>
      <w:r>
        <w:rPr>
          <w:color w:val="CC0000"/>
          <w:spacing w:val="-8"/>
          <w:sz w:val="26"/>
        </w:rPr>
        <w:t> </w:t>
      </w:r>
      <w:r>
        <w:rPr>
          <w:color w:val="CC0000"/>
          <w:sz w:val="26"/>
        </w:rPr>
        <w:t>en</w:t>
      </w:r>
      <w:r>
        <w:rPr>
          <w:color w:val="CC0000"/>
          <w:spacing w:val="-9"/>
          <w:sz w:val="26"/>
        </w:rPr>
        <w:t> </w:t>
      </w:r>
      <w:r>
        <w:rPr>
          <w:color w:val="CC0000"/>
          <w:sz w:val="26"/>
        </w:rPr>
        <w:t>aval</w:t>
      </w:r>
      <w:r>
        <w:rPr>
          <w:color w:val="CC0000"/>
          <w:spacing w:val="-8"/>
          <w:sz w:val="26"/>
        </w:rPr>
        <w:t> </w:t>
      </w:r>
      <w:r>
        <w:rPr>
          <w:color w:val="CC0000"/>
          <w:sz w:val="26"/>
        </w:rPr>
        <w:t>dans</w:t>
      </w:r>
      <w:r>
        <w:rPr>
          <w:color w:val="CC0000"/>
          <w:spacing w:val="-8"/>
          <w:sz w:val="26"/>
        </w:rPr>
        <w:t> </w:t>
      </w:r>
      <w:r>
        <w:rPr>
          <w:color w:val="CC0000"/>
          <w:sz w:val="26"/>
        </w:rPr>
        <w:t>la voie de signalisation EGFR/MAPK (ou EGFR/Ras, etc.).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12" w:lineRule="auto" w:before="0" w:after="0"/>
        <w:ind w:left="720" w:right="7" w:hanging="360"/>
        <w:jc w:val="both"/>
        <w:rPr>
          <w:sz w:val="26"/>
        </w:rPr>
      </w:pPr>
      <w:r>
        <w:rPr>
          <w:color w:val="CC0000"/>
          <w:sz w:val="26"/>
        </w:rPr>
        <w:t>ERK est aussi un</w:t>
      </w:r>
      <w:r>
        <w:rPr>
          <w:color w:val="CC0000"/>
          <w:sz w:val="26"/>
        </w:rPr>
        <w:t> facteur de transcription</w:t>
      </w:r>
      <w:r>
        <w:rPr>
          <w:color w:val="CC0000"/>
          <w:sz w:val="26"/>
        </w:rPr>
        <w:t> qui, une fois phosphorylée, va dans le noyau et transcrit des gènes impliqués dans la </w:t>
      </w:r>
      <w:r>
        <w:rPr>
          <w:color w:val="CC0000"/>
          <w:sz w:val="26"/>
          <w:u w:val="thick" w:color="CC0000"/>
        </w:rPr>
        <w:t>prolifération</w:t>
      </w:r>
      <w:r>
        <w:rPr>
          <w:color w:val="CC0000"/>
          <w:sz w:val="26"/>
        </w:rPr>
        <w:t>.</w:t>
      </w:r>
    </w:p>
    <w:p>
      <w:pPr>
        <w:pStyle w:val="BodyText"/>
        <w:spacing w:before="128"/>
        <w:jc w:val="left"/>
      </w:pPr>
    </w:p>
    <w:p>
      <w:pPr>
        <w:spacing w:line="364" w:lineRule="auto" w:before="0"/>
        <w:ind w:left="0" w:right="1" w:firstLine="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w w:val="110"/>
          <w:sz w:val="26"/>
        </w:rPr>
        <w:t>Question</w:t>
      </w:r>
      <w:r>
        <w:rPr>
          <w:rFonts w:ascii="Times New Roman" w:hAnsi="Times New Roman"/>
          <w:b/>
          <w:spacing w:val="-18"/>
          <w:w w:val="110"/>
          <w:sz w:val="26"/>
        </w:rPr>
        <w:t> </w:t>
      </w:r>
      <w:r>
        <w:rPr>
          <w:rFonts w:ascii="Times New Roman" w:hAnsi="Times New Roman"/>
          <w:b/>
          <w:w w:val="110"/>
          <w:sz w:val="26"/>
        </w:rPr>
        <w:t>10</w:t>
      </w:r>
      <w:r>
        <w:rPr>
          <w:rFonts w:ascii="Times New Roman" w:hAnsi="Times New Roman"/>
          <w:b/>
          <w:spacing w:val="-18"/>
          <w:w w:val="110"/>
          <w:sz w:val="26"/>
        </w:rPr>
        <w:t> </w:t>
      </w:r>
      <w:r>
        <w:rPr>
          <w:rFonts w:ascii="Times New Roman" w:hAnsi="Times New Roman"/>
          <w:b/>
          <w:w w:val="110"/>
          <w:sz w:val="26"/>
        </w:rPr>
        <w:t>item</w:t>
      </w:r>
      <w:r>
        <w:rPr>
          <w:rFonts w:ascii="Times New Roman" w:hAnsi="Times New Roman"/>
          <w:b/>
          <w:spacing w:val="-18"/>
          <w:w w:val="110"/>
          <w:sz w:val="26"/>
        </w:rPr>
        <w:t> </w:t>
      </w:r>
      <w:r>
        <w:rPr>
          <w:rFonts w:ascii="Times New Roman" w:hAnsi="Times New Roman"/>
          <w:b/>
          <w:w w:val="110"/>
          <w:sz w:val="26"/>
        </w:rPr>
        <w:t>B</w:t>
      </w:r>
      <w:r>
        <w:rPr>
          <w:rFonts w:ascii="Times New Roman" w:hAnsi="Times New Roman"/>
          <w:b/>
          <w:spacing w:val="-18"/>
          <w:w w:val="110"/>
          <w:sz w:val="26"/>
        </w:rPr>
        <w:t> </w:t>
      </w:r>
      <w:r>
        <w:rPr>
          <w:rFonts w:ascii="Times New Roman" w:hAnsi="Times New Roman"/>
          <w:b/>
          <w:w w:val="110"/>
          <w:sz w:val="26"/>
        </w:rPr>
        <w:t>:</w:t>
      </w:r>
      <w:r>
        <w:rPr>
          <w:rFonts w:ascii="Times New Roman" w:hAnsi="Times New Roman"/>
          <w:b/>
          <w:spacing w:val="-18"/>
          <w:w w:val="110"/>
          <w:sz w:val="26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VRAI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(et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pas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faux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comme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l’indique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la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correction)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-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Tout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à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fait. On</w:t>
      </w:r>
      <w:r>
        <w:rPr>
          <w:rFonts w:ascii="Times New Roman" w:hAnsi="Times New Roman"/>
          <w:b/>
          <w:color w:val="00B440"/>
          <w:spacing w:val="-11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a</w:t>
      </w:r>
      <w:r>
        <w:rPr>
          <w:rFonts w:ascii="Times New Roman" w:hAnsi="Times New Roman"/>
          <w:b/>
          <w:color w:val="00B440"/>
          <w:spacing w:val="-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vu</w:t>
      </w:r>
      <w:r>
        <w:rPr>
          <w:rFonts w:ascii="Times New Roman" w:hAnsi="Times New Roman"/>
          <w:b/>
          <w:color w:val="00B440"/>
          <w:spacing w:val="-8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qu’en</w:t>
      </w:r>
      <w:r>
        <w:rPr>
          <w:rFonts w:ascii="Times New Roman" w:hAnsi="Times New Roman"/>
          <w:b/>
          <w:color w:val="00B440"/>
          <w:spacing w:val="-8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surexprimant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l’EGFR,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on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avait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une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prolifération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plus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importante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qui témoigne</w:t>
      </w:r>
      <w:r>
        <w:rPr>
          <w:rFonts w:ascii="Times New Roman" w:hAnsi="Times New Roman"/>
          <w:b/>
          <w:color w:val="00B440"/>
          <w:w w:val="110"/>
          <w:sz w:val="24"/>
        </w:rPr>
        <w:t> d’une</w:t>
      </w:r>
      <w:r>
        <w:rPr>
          <w:rFonts w:ascii="Times New Roman" w:hAnsi="Times New Roman"/>
          <w:b/>
          <w:color w:val="00B440"/>
          <w:w w:val="110"/>
          <w:sz w:val="24"/>
        </w:rPr>
        <w:t> résistance</w:t>
      </w:r>
      <w:r>
        <w:rPr>
          <w:rFonts w:ascii="Times New Roman" w:hAnsi="Times New Roman"/>
          <w:b/>
          <w:color w:val="00B440"/>
          <w:w w:val="110"/>
          <w:sz w:val="24"/>
        </w:rPr>
        <w:t> aux</w:t>
      </w:r>
      <w:r>
        <w:rPr>
          <w:rFonts w:ascii="Times New Roman" w:hAnsi="Times New Roman"/>
          <w:b/>
          <w:color w:val="00B440"/>
          <w:w w:val="110"/>
          <w:sz w:val="24"/>
        </w:rPr>
        <w:t> effets</w:t>
      </w:r>
      <w:r>
        <w:rPr>
          <w:rFonts w:ascii="Times New Roman" w:hAnsi="Times New Roman"/>
          <w:b/>
          <w:color w:val="00B440"/>
          <w:w w:val="110"/>
          <w:sz w:val="24"/>
        </w:rPr>
        <w:t> antiprolifératifs</w:t>
      </w:r>
      <w:r>
        <w:rPr>
          <w:rFonts w:ascii="Times New Roman" w:hAnsi="Times New Roman"/>
          <w:b/>
          <w:color w:val="00B440"/>
          <w:w w:val="110"/>
          <w:sz w:val="24"/>
        </w:rPr>
        <w:t> du</w:t>
      </w:r>
      <w:r>
        <w:rPr>
          <w:rFonts w:ascii="Times New Roman" w:hAnsi="Times New Roman"/>
          <w:b/>
          <w:color w:val="00B440"/>
          <w:w w:val="110"/>
          <w:sz w:val="24"/>
        </w:rPr>
        <w:t> Tamoxifène.</w:t>
      </w:r>
      <w:r>
        <w:rPr>
          <w:rFonts w:ascii="Times New Roman" w:hAnsi="Times New Roman"/>
          <w:b/>
          <w:color w:val="00B440"/>
          <w:w w:val="110"/>
          <w:sz w:val="24"/>
        </w:rPr>
        <w:t> En</w:t>
      </w:r>
      <w:r>
        <w:rPr>
          <w:rFonts w:ascii="Times New Roman" w:hAnsi="Times New Roman"/>
          <w:b/>
          <w:color w:val="00B440"/>
          <w:w w:val="110"/>
          <w:sz w:val="24"/>
        </w:rPr>
        <w:t> plus,</w:t>
      </w:r>
      <w:r>
        <w:rPr>
          <w:rFonts w:ascii="Times New Roman" w:hAnsi="Times New Roman"/>
          <w:b/>
          <w:color w:val="00B440"/>
          <w:w w:val="110"/>
          <w:sz w:val="24"/>
        </w:rPr>
        <w:t> en absence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d’EGFR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(comme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on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le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fait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dans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la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ﬁgure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4B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avec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un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siARN),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on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n’a</w:t>
      </w:r>
      <w:r>
        <w:rPr>
          <w:rFonts w:ascii="Times New Roman" w:hAnsi="Times New Roman"/>
          <w:b/>
          <w:color w:val="00B440"/>
          <w:spacing w:val="-17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pas</w:t>
      </w:r>
      <w:r>
        <w:rPr>
          <w:rFonts w:ascii="Times New Roman" w:hAnsi="Times New Roman"/>
          <w:b/>
          <w:color w:val="00B440"/>
          <w:spacing w:val="-16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cette résistance.</w:t>
      </w:r>
      <w:r>
        <w:rPr>
          <w:rFonts w:ascii="Times New Roman" w:hAnsi="Times New Roman"/>
          <w:b/>
          <w:color w:val="00B440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Diminuer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 l’expression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 de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 l’EGFR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 semble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 donc</w:t>
      </w:r>
      <w:r>
        <w:rPr>
          <w:rFonts w:ascii="Times New Roman" w:hAnsi="Times New Roman"/>
          <w:b/>
          <w:color w:val="00B440"/>
          <w:spacing w:val="-10"/>
          <w:w w:val="110"/>
          <w:sz w:val="24"/>
          <w:u w:val="thick" w:color="00B440"/>
        </w:rPr>
        <w:t> 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être</w:t>
      </w:r>
      <w:r>
        <w:rPr>
          <w:rFonts w:ascii="Times New Roman" w:hAnsi="Times New Roman"/>
          <w:b/>
          <w:color w:val="00B440"/>
          <w:spacing w:val="-10"/>
          <w:w w:val="110"/>
          <w:sz w:val="24"/>
          <w:u w:val="thick" w:color="00B440"/>
        </w:rPr>
        <w:t> 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une</w:t>
      </w:r>
      <w:r>
        <w:rPr>
          <w:rFonts w:ascii="Times New Roman" w:hAnsi="Times New Roman"/>
          <w:b/>
          <w:color w:val="00B440"/>
          <w:spacing w:val="-10"/>
          <w:w w:val="110"/>
          <w:sz w:val="24"/>
          <w:u w:val="thick" w:color="00B440"/>
        </w:rPr>
        <w:t> 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bonne</w:t>
      </w:r>
      <w:r>
        <w:rPr>
          <w:rFonts w:ascii="Times New Roman" w:hAnsi="Times New Roman"/>
          <w:b/>
          <w:color w:val="00B440"/>
          <w:spacing w:val="-10"/>
          <w:w w:val="110"/>
          <w:sz w:val="24"/>
          <w:u w:val="thick" w:color="00B440"/>
        </w:rPr>
        <w:t> </w:t>
      </w:r>
      <w:r>
        <w:rPr>
          <w:rFonts w:ascii="Times New Roman" w:hAnsi="Times New Roman"/>
          <w:b/>
          <w:color w:val="00B440"/>
          <w:w w:val="110"/>
          <w:sz w:val="24"/>
          <w:u w:val="thick" w:color="00B440"/>
        </w:rPr>
        <w:t>idée</w:t>
      </w:r>
      <w:r>
        <w:rPr>
          <w:rFonts w:ascii="Times New Roman" w:hAnsi="Times New Roman"/>
          <w:b/>
          <w:color w:val="00B440"/>
          <w:spacing w:val="-10"/>
          <w:w w:val="110"/>
          <w:sz w:val="24"/>
        </w:rPr>
        <w:t> </w:t>
      </w:r>
      <w:r>
        <w:rPr>
          <w:rFonts w:ascii="Times New Roman" w:hAnsi="Times New Roman"/>
          <w:b/>
          <w:color w:val="00B440"/>
          <w:w w:val="110"/>
          <w:sz w:val="24"/>
        </w:rPr>
        <w:t>pour réduire la résistance au Tamoxifène !</w:t>
      </w:r>
    </w:p>
    <w:p>
      <w:pPr>
        <w:pStyle w:val="BodyText"/>
        <w:spacing w:before="152"/>
        <w:jc w:val="left"/>
        <w:rPr>
          <w:rFonts w:ascii="Times New Roman"/>
          <w:b/>
          <w:sz w:val="24"/>
        </w:rPr>
      </w:pPr>
    </w:p>
    <w:p>
      <w:pPr>
        <w:pStyle w:val="BodyText"/>
        <w:spacing w:line="312" w:lineRule="auto"/>
        <w:ind w:right="6"/>
      </w:pPr>
      <w:r>
        <w:rPr>
          <w:rFonts w:ascii="Times New Roman" w:hAnsi="Times New Roman"/>
          <w:b/>
        </w:rPr>
        <w:t>Question 24 item A : </w:t>
      </w:r>
      <w:r>
        <w:rPr/>
        <w:t>on est en train de voir avec les profs quelle valeur est celle à retenir pour les globules rouges !</w:t>
      </w:r>
    </w:p>
    <w:sectPr>
      <w:type w:val="continuous"/>
      <w:pgSz w:w="12240" w:h="15840"/>
      <w:pgMar w:top="14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CC0000"/>
        <w:spacing w:val="0"/>
        <w:w w:val="112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Palatino Linotype" w:hAnsi="Palatino Linotype" w:eastAsia="Palatino Linotype" w:cs="Palatino Linotype"/>
      <w:sz w:val="26"/>
      <w:szCs w:val="2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1" w:hanging="360"/>
      <w:jc w:val="both"/>
    </w:pPr>
    <w:rPr>
      <w:rFonts w:ascii="Palatino Linotype" w:hAnsi="Palatino Linotype" w:eastAsia="Palatino Linotype" w:cs="Palatino Linotyp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1 BIOCELL 24-25</dc:title>
  <dcterms:created xsi:type="dcterms:W3CDTF">2026-10-26T19:53:31Z</dcterms:created>
  <dcterms:modified xsi:type="dcterms:W3CDTF">2026-10-26T19:53:31Z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