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2"/>
        <w:ind w:left="23" w:right="0" w:firstLine="0"/>
        <w:jc w:val="both"/>
        <w:rPr>
          <w:rFonts w:ascii="Bookman Old Style" w:hAnsi="Bookman Old Style" w:eastAsia="Bookman Old Style"/>
          <w:i/>
          <w:sz w:val="24"/>
        </w:rPr>
      </w:pPr>
      <w:r>
        <w:rPr>
          <w:rFonts w:ascii="Times New Roman" w:hAnsi="Times New Roman" w:eastAsia="Times New Roman"/>
          <w:i/>
          <w:color w:val="A61B00"/>
          <w:spacing w:val="-4"/>
          <w:sz w:val="20"/>
        </w:rPr>
        <w:t>désolée pour</w:t>
      </w:r>
      <w:r>
        <w:rPr>
          <w:rFonts w:ascii="Times New Roman" w:hAnsi="Times New Roman" w:eastAsia="Times New Roman"/>
          <w:i/>
          <w:color w:val="A61B00"/>
          <w:spacing w:val="-3"/>
          <w:sz w:val="20"/>
        </w:rPr>
        <w:t> </w:t>
      </w:r>
      <w:r>
        <w:rPr>
          <w:rFonts w:ascii="Times New Roman" w:hAnsi="Times New Roman" w:eastAsia="Times New Roman"/>
          <w:i/>
          <w:color w:val="A61B00"/>
          <w:spacing w:val="-4"/>
          <w:sz w:val="20"/>
        </w:rPr>
        <w:t>les</w:t>
      </w:r>
      <w:r>
        <w:rPr>
          <w:rFonts w:ascii="Times New Roman" w:hAnsi="Times New Roman" w:eastAsia="Times New Roman"/>
          <w:i/>
          <w:color w:val="A61B00"/>
          <w:spacing w:val="-3"/>
          <w:sz w:val="20"/>
        </w:rPr>
        <w:t> </w:t>
      </w:r>
      <w:r>
        <w:rPr>
          <w:rFonts w:ascii="Times New Roman" w:hAnsi="Times New Roman" w:eastAsia="Times New Roman"/>
          <w:i/>
          <w:color w:val="A61B00"/>
          <w:spacing w:val="-4"/>
          <w:sz w:val="20"/>
        </w:rPr>
        <w:t>erratas</w:t>
      </w:r>
      <w:r>
        <w:rPr>
          <w:rFonts w:ascii="Times New Roman" w:hAnsi="Times New Roman" w:eastAsia="Times New Roman"/>
          <w:i/>
          <w:color w:val="A61B00"/>
          <w:spacing w:val="-3"/>
          <w:sz w:val="20"/>
        </w:rPr>
        <w:t> </w:t>
      </w:r>
      <w:r>
        <w:rPr>
          <w:rFonts w:ascii="Times New Roman" w:hAnsi="Times New Roman" w:eastAsia="Times New Roman"/>
          <w:i/>
          <w:color w:val="A61B00"/>
          <w:spacing w:val="-4"/>
          <w:sz w:val="20"/>
        </w:rPr>
        <w:t>l’équipe</w:t>
      </w:r>
      <w:r>
        <w:rPr>
          <w:rFonts w:ascii="Times New Roman" w:hAnsi="Times New Roman" w:eastAsia="Times New Roman"/>
          <w:i/>
          <w:color w:val="A61B00"/>
          <w:spacing w:val="-3"/>
          <w:sz w:val="20"/>
        </w:rPr>
        <w:t> </w:t>
      </w:r>
      <w:r>
        <w:rPr>
          <w:rFonts w:ascii="MingLiU_HKSCS-ExtB" w:hAnsi="MingLiU_HKSCS-ExtB" w:eastAsia="MingLiU_HKSCS-ExtB"/>
          <w:color w:val="A61B00"/>
          <w:spacing w:val="-5"/>
          <w:sz w:val="24"/>
        </w:rPr>
        <w:t>✊</w:t>
      </w:r>
      <w:r>
        <w:rPr>
          <w:rFonts w:ascii="Bookman Old Style" w:hAnsi="Bookman Old Style" w:eastAsia="Bookman Old Style"/>
          <w:i/>
          <w:color w:val="A61B00"/>
          <w:spacing w:val="-5"/>
          <w:sz w:val="24"/>
        </w:rPr>
        <w:t>😔</w:t>
      </w:r>
    </w:p>
    <w:p>
      <w:pPr>
        <w:pStyle w:val="BodyText"/>
        <w:spacing w:before="159"/>
        <w:rPr>
          <w:rFonts w:ascii="Bookman Old Style"/>
          <w:i/>
          <w:sz w:val="20"/>
        </w:rPr>
      </w:pPr>
    </w:p>
    <w:p>
      <w:pPr>
        <w:pStyle w:val="BodyText"/>
        <w:spacing w:line="312" w:lineRule="auto"/>
        <w:ind w:left="23" w:right="35"/>
        <w:jc w:val="both"/>
      </w:pPr>
      <w:r>
        <w:rPr>
          <w:rFonts w:ascii="Times New Roman" w:hAnsi="Times New Roman"/>
          <w:b/>
          <w:u w:val="thick"/>
        </w:rPr>
        <w:t>QUESTION 2 ITEM D :</w:t>
      </w:r>
      <w:r>
        <w:rPr>
          <w:rFonts w:ascii="Times New Roman" w:hAnsi="Times New Roman"/>
          <w:b/>
          <w:spacing w:val="-1"/>
        </w:rPr>
        <w:t> </w:t>
      </w:r>
      <w:r>
        <w:rPr/>
        <w:t>Remplacer</w:t>
      </w:r>
      <w:r>
        <w:rPr>
          <w:spacing w:val="-1"/>
        </w:rPr>
        <w:t> </w:t>
      </w:r>
      <w:r>
        <w:rPr/>
        <w:t>“Src</w:t>
      </w:r>
      <w:r>
        <w:rPr>
          <w:spacing w:val="-1"/>
        </w:rPr>
        <w:t> </w:t>
      </w:r>
      <w:r>
        <w:rPr/>
        <w:t>est</w:t>
      </w:r>
      <w:r>
        <w:rPr>
          <w:spacing w:val="-1"/>
        </w:rPr>
        <w:t> </w:t>
      </w:r>
      <w:r>
        <w:rPr/>
        <w:t>impliquée”</w:t>
      </w:r>
      <w:r>
        <w:rPr>
          <w:spacing w:val="-1"/>
        </w:rPr>
        <w:t> </w:t>
      </w:r>
      <w:r>
        <w:rPr/>
        <w:t>par</w:t>
      </w:r>
      <w:r>
        <w:rPr>
          <w:spacing w:val="-1"/>
        </w:rPr>
        <w:t> </w:t>
      </w:r>
      <w:r>
        <w:rPr/>
        <w:t>“Src</w:t>
      </w:r>
      <w:r>
        <w:rPr>
          <w:spacing w:val="-1"/>
        </w:rPr>
        <w:t> </w:t>
      </w:r>
      <w:r>
        <w:rPr>
          <w:u w:val="thick"/>
        </w:rPr>
        <w:t>semble</w:t>
      </w:r>
      <w:r>
        <w:rPr>
          <w:spacing w:val="-1"/>
          <w:u w:val="thick"/>
        </w:rPr>
        <w:t> </w:t>
      </w:r>
      <w:r>
        <w:rPr>
          <w:u w:val="thick"/>
        </w:rPr>
        <w:t>impliquée</w:t>
      </w:r>
      <w:r>
        <w:rPr/>
        <w:t>”</w:t>
      </w:r>
      <w:r>
        <w:rPr>
          <w:spacing w:val="-1"/>
        </w:rPr>
        <w:t> </w:t>
      </w:r>
      <w:r>
        <w:rPr/>
        <w:t>(le</w:t>
      </w:r>
      <w:r>
        <w:rPr>
          <w:spacing w:val="-1"/>
        </w:rPr>
        <w:t> </w:t>
      </w:r>
      <w:r>
        <w:rPr/>
        <w:t>bilan de réponse et la correction ne changent pas)</w:t>
      </w:r>
    </w:p>
    <w:p>
      <w:pPr>
        <w:pStyle w:val="BodyText"/>
        <w:spacing w:line="312" w:lineRule="auto"/>
        <w:ind w:left="23" w:right="46"/>
        <w:jc w:val="both"/>
      </w:pPr>
      <w:r>
        <w:rPr>
          <w:rFonts w:ascii="SimSun-ExtB" w:hAnsi="SimSun-ExtB"/>
        </w:rPr>
        <w:t>⇒</w:t>
      </w:r>
      <w:r>
        <w:rPr>
          <w:rFonts w:ascii="SimSun-ExtB" w:hAnsi="SimSun-ExtB"/>
          <w:spacing w:val="-28"/>
        </w:rPr>
        <w:t> </w:t>
      </w:r>
      <w:r>
        <w:rPr/>
        <w:t>L’imidazole</w:t>
      </w:r>
      <w:r>
        <w:rPr>
          <w:spacing w:val="-3"/>
        </w:rPr>
        <w:t> </w:t>
      </w:r>
      <w:r>
        <w:rPr/>
        <w:t>et</w:t>
      </w:r>
      <w:r>
        <w:rPr>
          <w:spacing w:val="-4"/>
        </w:rPr>
        <w:t> </w:t>
      </w:r>
      <w:r>
        <w:rPr/>
        <w:t>le</w:t>
      </w:r>
      <w:r>
        <w:rPr>
          <w:spacing w:val="-5"/>
        </w:rPr>
        <w:t> </w:t>
      </w:r>
      <w:r>
        <w:rPr/>
        <w:t>PDGF</w:t>
      </w:r>
      <w:r>
        <w:rPr>
          <w:spacing w:val="-5"/>
        </w:rPr>
        <w:t> </w:t>
      </w:r>
      <w:r>
        <w:rPr/>
        <w:t>ne</w:t>
      </w:r>
      <w:r>
        <w:rPr>
          <w:spacing w:val="-5"/>
        </w:rPr>
        <w:t> </w:t>
      </w:r>
      <w:r>
        <w:rPr/>
        <w:t>sont</w:t>
      </w:r>
      <w:r>
        <w:rPr>
          <w:spacing w:val="-5"/>
        </w:rPr>
        <w:t> </w:t>
      </w:r>
      <w:r>
        <w:rPr/>
        <w:t>pas</w:t>
      </w:r>
      <w:r>
        <w:rPr>
          <w:spacing w:val="-5"/>
        </w:rPr>
        <w:t> </w:t>
      </w:r>
      <w:r>
        <w:rPr/>
        <w:t>des</w:t>
      </w:r>
      <w:r>
        <w:rPr>
          <w:spacing w:val="-5"/>
        </w:rPr>
        <w:t> </w:t>
      </w:r>
      <w:r>
        <w:rPr/>
        <w:t>activateurs</w:t>
      </w:r>
      <w:r>
        <w:rPr>
          <w:spacing w:val="-5"/>
        </w:rPr>
        <w:t> </w:t>
      </w:r>
      <w:r>
        <w:rPr/>
        <w:t>spécifiques</w:t>
      </w:r>
      <w:r>
        <w:rPr>
          <w:spacing w:val="-5"/>
        </w:rPr>
        <w:t> </w:t>
      </w:r>
      <w:r>
        <w:rPr/>
        <w:t>de</w:t>
      </w:r>
      <w:r>
        <w:rPr>
          <w:spacing w:val="-5"/>
        </w:rPr>
        <w:t> </w:t>
      </w:r>
      <w:r>
        <w:rPr/>
        <w:t>Src.</w:t>
      </w:r>
      <w:r>
        <w:rPr>
          <w:spacing w:val="-5"/>
        </w:rPr>
        <w:t> </w:t>
      </w:r>
      <w:r>
        <w:rPr/>
        <w:t>Ainsi</w:t>
      </w:r>
      <w:r>
        <w:rPr>
          <w:spacing w:val="-5"/>
        </w:rPr>
        <w:t> </w:t>
      </w:r>
      <w:r>
        <w:rPr/>
        <w:t>dans</w:t>
      </w:r>
      <w:r>
        <w:rPr>
          <w:spacing w:val="-5"/>
        </w:rPr>
        <w:t> </w:t>
      </w:r>
      <w:r>
        <w:rPr/>
        <w:t>la</w:t>
      </w:r>
      <w:r>
        <w:rPr>
          <w:spacing w:val="-5"/>
        </w:rPr>
        <w:t> </w:t>
      </w:r>
      <w:r>
        <w:rPr/>
        <w:t>figure 1, ne peut pas dire que les résultats observés sont dus directement à</w:t>
      </w:r>
      <w:r>
        <w:rPr>
          <w:spacing w:val="-6"/>
        </w:rPr>
        <w:t> </w:t>
      </w:r>
      <w:r>
        <w:rPr/>
        <w:t>l’activation</w:t>
      </w:r>
      <w:r>
        <w:rPr>
          <w:spacing w:val="-6"/>
        </w:rPr>
        <w:t> </w:t>
      </w:r>
      <w:r>
        <w:rPr/>
        <w:t>de</w:t>
      </w:r>
      <w:r>
        <w:rPr>
          <w:spacing w:val="-6"/>
        </w:rPr>
        <w:t> </w:t>
      </w:r>
      <w:r>
        <w:rPr/>
        <w:t>Src,</w:t>
      </w:r>
      <w:r>
        <w:rPr>
          <w:spacing w:val="-6"/>
        </w:rPr>
        <w:t> </w:t>
      </w:r>
      <w:r>
        <w:rPr/>
        <w:t>ou</w:t>
      </w:r>
      <w:r>
        <w:rPr>
          <w:spacing w:val="-6"/>
        </w:rPr>
        <w:t> </w:t>
      </w:r>
      <w:r>
        <w:rPr/>
        <w:t>à l’activation</w:t>
      </w:r>
      <w:r>
        <w:rPr/>
        <w:t> d’autres molécules par l’imidazole. On</w:t>
      </w:r>
      <w:r>
        <w:rPr/>
        <w:t> ne peut donc pas aﬃrmer pour l’instant que Src est impliquée dans le transport de GALNT2, d’où le changement de l’item :)</w:t>
      </w:r>
    </w:p>
    <w:p>
      <w:pPr>
        <w:pStyle w:val="BodyText"/>
        <w:spacing w:before="84"/>
      </w:pPr>
    </w:p>
    <w:p>
      <w:pPr>
        <w:spacing w:line="312" w:lineRule="auto" w:before="0"/>
        <w:ind w:left="23" w:right="41" w:firstLine="0"/>
        <w:jc w:val="both"/>
        <w:rPr>
          <w:sz w:val="22"/>
        </w:rPr>
      </w:pPr>
      <w:r>
        <w:rPr>
          <w:rFonts w:ascii="Times New Roman" w:hAnsi="Times New Roman"/>
          <w:b/>
          <w:sz w:val="22"/>
          <w:u w:val="thick"/>
        </w:rPr>
        <w:t>QUESTION 6 ITEM C :</w:t>
      </w:r>
      <w:r>
        <w:rPr>
          <w:rFonts w:ascii="Times New Roman" w:hAnsi="Times New Roman"/>
          <w:b/>
          <w:sz w:val="22"/>
        </w:rPr>
        <w:t> </w:t>
      </w:r>
      <w:r>
        <w:rPr>
          <w:sz w:val="22"/>
        </w:rPr>
        <w:t>L’item est </w:t>
      </w:r>
      <w:r>
        <w:rPr>
          <w:rFonts w:ascii="Times New Roman" w:hAnsi="Times New Roman"/>
          <w:b/>
          <w:color w:val="6AA74E"/>
          <w:sz w:val="22"/>
        </w:rPr>
        <w:t>VRAI </w:t>
      </w:r>
      <w:r>
        <w:rPr>
          <w:sz w:val="22"/>
        </w:rPr>
        <w:t>et non</w:t>
      </w:r>
      <w:r>
        <w:rPr>
          <w:sz w:val="22"/>
        </w:rPr>
        <w:t> faux comme l’indique la grille et la </w:t>
      </w:r>
      <w:r>
        <w:rPr>
          <w:spacing w:val="-2"/>
          <w:sz w:val="22"/>
        </w:rPr>
        <w:t>correction.</w:t>
      </w:r>
    </w:p>
    <w:p>
      <w:pPr>
        <w:pStyle w:val="BodyText"/>
        <w:spacing w:line="312" w:lineRule="auto"/>
        <w:ind w:left="23" w:right="41"/>
        <w:jc w:val="both"/>
      </w:pPr>
      <w:r>
        <w:rPr>
          <w:rFonts w:ascii="SimSun-ExtB" w:hAnsi="SimSun-ExtB"/>
        </w:rPr>
        <w:t>⇒</w:t>
      </w:r>
      <w:r>
        <w:rPr>
          <w:rFonts w:ascii="SimSun-ExtB" w:hAnsi="SimSun-ExtB"/>
          <w:spacing w:val="-28"/>
        </w:rPr>
        <w:t> </w:t>
      </w:r>
      <w:r>
        <w:rPr/>
        <w:t>Une ligne a sauté, cette ligne contenait un piège (dans les parenthèses sur la correction), mais comme vous ne l’avez pas sur le sujet on ne garde pas cette ligne. L’item “On observe davantage d'interactions en présence de Src sous la forme active” est donc vrai.</w:t>
      </w:r>
    </w:p>
    <w:p>
      <w:pPr>
        <w:pStyle w:val="BodyText"/>
        <w:spacing w:before="84"/>
      </w:pPr>
    </w:p>
    <w:p>
      <w:pPr>
        <w:spacing w:line="312" w:lineRule="auto" w:before="0"/>
        <w:ind w:left="23" w:right="38" w:firstLine="0"/>
        <w:jc w:val="both"/>
        <w:rPr>
          <w:sz w:val="22"/>
        </w:rPr>
      </w:pPr>
      <w:r>
        <w:rPr>
          <w:rFonts w:ascii="Times New Roman" w:hAnsi="Times New Roman"/>
          <w:b/>
          <w:sz w:val="22"/>
          <w:u w:val="thick"/>
        </w:rPr>
        <w:t>QUESTION 12 ITEM D :</w:t>
      </w:r>
      <w:r>
        <w:rPr>
          <w:rFonts w:ascii="Times New Roman" w:hAnsi="Times New Roman"/>
          <w:b/>
          <w:sz w:val="22"/>
        </w:rPr>
        <w:t> </w:t>
      </w:r>
      <w:r>
        <w:rPr>
          <w:sz w:val="22"/>
        </w:rPr>
        <w:t>L’item est </w:t>
      </w:r>
      <w:r>
        <w:rPr>
          <w:rFonts w:ascii="Times New Roman" w:hAnsi="Times New Roman"/>
          <w:b/>
          <w:color w:val="CC0000"/>
          <w:sz w:val="22"/>
        </w:rPr>
        <w:t>FAUX </w:t>
      </w:r>
      <w:r>
        <w:rPr>
          <w:sz w:val="22"/>
        </w:rPr>
        <w:t>et non</w:t>
      </w:r>
      <w:r>
        <w:rPr>
          <w:sz w:val="22"/>
        </w:rPr>
        <w:t> vrai comme l’indique la grille et la </w:t>
      </w:r>
      <w:r>
        <w:rPr>
          <w:spacing w:val="-2"/>
          <w:sz w:val="22"/>
        </w:rPr>
        <w:t>correction.</w:t>
      </w:r>
    </w:p>
    <w:p>
      <w:pPr>
        <w:pStyle w:val="BodyText"/>
        <w:spacing w:line="312" w:lineRule="auto"/>
        <w:ind w:left="23" w:right="43"/>
        <w:jc w:val="both"/>
      </w:pPr>
      <w:r>
        <w:rPr>
          <w:rFonts w:ascii="SimSun-ExtB" w:hAnsi="SimSun-ExtB"/>
        </w:rPr>
        <w:t>⇒</w:t>
      </w:r>
      <w:r>
        <w:rPr>
          <w:rFonts w:ascii="SimSun-ExtB" w:hAnsi="SimSun-ExtB"/>
          <w:spacing w:val="-28"/>
        </w:rPr>
        <w:t> </w:t>
      </w:r>
      <w:r>
        <w:rPr/>
        <w:t>La</w:t>
      </w:r>
      <w:r>
        <w:rPr>
          <w:spacing w:val="-4"/>
        </w:rPr>
        <w:t> </w:t>
      </w:r>
      <w:r>
        <w:rPr>
          <w:u w:val="thick"/>
        </w:rPr>
        <w:t>bicouche lipidique</w:t>
      </w:r>
      <w:r>
        <w:rPr/>
        <w:t> est imperméable</w:t>
      </w:r>
      <w:r>
        <w:rPr>
          <w:spacing w:val="-5"/>
        </w:rPr>
        <w:t> </w:t>
      </w:r>
      <w:r>
        <w:rPr/>
        <w:t>aux</w:t>
      </w:r>
      <w:r>
        <w:rPr>
          <w:spacing w:val="-5"/>
        </w:rPr>
        <w:t> </w:t>
      </w:r>
      <w:r>
        <w:rPr/>
        <w:t>ions,</w:t>
      </w:r>
      <w:r>
        <w:rPr>
          <w:spacing w:val="-5"/>
        </w:rPr>
        <w:t> </w:t>
      </w:r>
      <w:r>
        <w:rPr/>
        <w:t>mais</w:t>
      </w:r>
      <w:r>
        <w:rPr>
          <w:spacing w:val="-5"/>
        </w:rPr>
        <w:t> </w:t>
      </w:r>
      <w:r>
        <w:rPr/>
        <w:t>la</w:t>
      </w:r>
      <w:r>
        <w:rPr>
          <w:spacing w:val="-5"/>
        </w:rPr>
        <w:t> </w:t>
      </w:r>
      <w:r>
        <w:rPr>
          <w:u w:val="thick"/>
        </w:rPr>
        <w:t>membrane</w:t>
      </w:r>
      <w:r>
        <w:rPr>
          <w:spacing w:val="-5"/>
          <w:u w:val="thick"/>
        </w:rPr>
        <w:t> </w:t>
      </w:r>
      <w:r>
        <w:rPr>
          <w:u w:val="thick"/>
        </w:rPr>
        <w:t>plasmique</w:t>
      </w:r>
      <w:r>
        <w:rPr>
          <w:spacing w:val="-5"/>
        </w:rPr>
        <w:t> </w:t>
      </w:r>
      <w:r>
        <w:rPr/>
        <w:t>contient</w:t>
      </w:r>
      <w:r>
        <w:rPr>
          <w:spacing w:val="-5"/>
        </w:rPr>
        <w:t> </w:t>
      </w:r>
      <w:r>
        <w:rPr/>
        <w:t>la bicouche lipidique</w:t>
      </w:r>
      <w:r>
        <w:rPr>
          <w:spacing w:val="-2"/>
        </w:rPr>
        <w:t> </w:t>
      </w:r>
      <w:r>
        <w:rPr/>
        <w:t>+</w:t>
      </w:r>
      <w:r>
        <w:rPr>
          <w:spacing w:val="-2"/>
        </w:rPr>
        <w:t> </w:t>
      </w:r>
      <w:r>
        <w:rPr/>
        <w:t>les</w:t>
      </w:r>
      <w:r>
        <w:rPr>
          <w:spacing w:val="-2"/>
        </w:rPr>
        <w:t> </w:t>
      </w:r>
      <w:r>
        <w:rPr/>
        <w:t>protéines,</w:t>
      </w:r>
      <w:r>
        <w:rPr>
          <w:spacing w:val="-2"/>
        </w:rPr>
        <w:t> </w:t>
      </w:r>
      <w:r>
        <w:rPr/>
        <w:t>donc</w:t>
      </w:r>
      <w:r>
        <w:rPr>
          <w:spacing w:val="-2"/>
        </w:rPr>
        <w:t> </w:t>
      </w:r>
      <w:r>
        <w:rPr/>
        <w:t>les</w:t>
      </w:r>
      <w:r>
        <w:rPr>
          <w:spacing w:val="-3"/>
        </w:rPr>
        <w:t> </w:t>
      </w:r>
      <w:r>
        <w:rPr/>
        <w:t>canaux</w:t>
      </w:r>
      <w:r>
        <w:rPr>
          <w:spacing w:val="-2"/>
        </w:rPr>
        <w:t> </w:t>
      </w:r>
      <w:r>
        <w:rPr/>
        <w:t>ioniques</w:t>
      </w:r>
      <w:r>
        <w:rPr>
          <w:spacing w:val="-2"/>
        </w:rPr>
        <w:t> </w:t>
      </w:r>
      <w:r>
        <w:rPr/>
        <w:t>et</w:t>
      </w:r>
      <w:r>
        <w:rPr>
          <w:spacing w:val="-2"/>
        </w:rPr>
        <w:t> </w:t>
      </w:r>
      <w:r>
        <w:rPr/>
        <w:t>les</w:t>
      </w:r>
      <w:r>
        <w:rPr>
          <w:spacing w:val="-2"/>
        </w:rPr>
        <w:t> </w:t>
      </w:r>
      <w:r>
        <w:rPr/>
        <w:t>transporteurs</w:t>
      </w:r>
      <w:r>
        <w:rPr>
          <w:spacing w:val="-2"/>
        </w:rPr>
        <w:t> </w:t>
      </w:r>
      <w:r>
        <w:rPr/>
        <w:t>actifs</w:t>
      </w:r>
      <w:r>
        <w:rPr>
          <w:spacing w:val="-3"/>
        </w:rPr>
        <w:t> </w:t>
      </w:r>
      <w:r>
        <w:rPr/>
        <w:t>d’ions. La membrane plasmique présente donc une </w:t>
      </w:r>
      <w:r>
        <w:rPr>
          <w:rFonts w:ascii="Times New Roman" w:hAnsi="Times New Roman"/>
          <w:b/>
        </w:rPr>
        <w:t>perméabilité sélective </w:t>
      </w:r>
      <w:r>
        <w:rPr/>
        <w:t>aux ions.</w:t>
      </w:r>
    </w:p>
    <w:p>
      <w:pPr>
        <w:pStyle w:val="BodyText"/>
        <w:spacing w:before="85"/>
      </w:pPr>
    </w:p>
    <w:p>
      <w:pPr>
        <w:spacing w:line="312" w:lineRule="auto" w:before="0"/>
        <w:ind w:left="23" w:right="36" w:firstLine="0"/>
        <w:jc w:val="both"/>
        <w:rPr>
          <w:sz w:val="22"/>
        </w:rPr>
      </w:pPr>
      <w:r>
        <w:rPr>
          <w:rFonts w:ascii="Times New Roman" w:hAnsi="Times New Roman"/>
          <w:b/>
          <w:sz w:val="22"/>
          <w:u w:val="thick"/>
        </w:rPr>
        <w:t>QUESTION</w:t>
      </w:r>
      <w:r>
        <w:rPr>
          <w:rFonts w:ascii="Times New Roman" w:hAnsi="Times New Roman"/>
          <w:b/>
          <w:spacing w:val="40"/>
          <w:sz w:val="22"/>
          <w:u w:val="thick"/>
        </w:rPr>
        <w:t> </w:t>
      </w:r>
      <w:r>
        <w:rPr>
          <w:rFonts w:ascii="Times New Roman" w:hAnsi="Times New Roman"/>
          <w:b/>
          <w:sz w:val="22"/>
          <w:u w:val="thick"/>
        </w:rPr>
        <w:t>15</w:t>
      </w:r>
      <w:r>
        <w:rPr>
          <w:rFonts w:ascii="Times New Roman" w:hAnsi="Times New Roman"/>
          <w:b/>
          <w:spacing w:val="40"/>
          <w:sz w:val="22"/>
          <w:u w:val="thick"/>
        </w:rPr>
        <w:t> </w:t>
      </w:r>
      <w:r>
        <w:rPr>
          <w:rFonts w:ascii="Times New Roman" w:hAnsi="Times New Roman"/>
          <w:b/>
          <w:sz w:val="22"/>
          <w:u w:val="thick"/>
        </w:rPr>
        <w:t>ITEM</w:t>
      </w:r>
      <w:r>
        <w:rPr>
          <w:rFonts w:ascii="Times New Roman" w:hAnsi="Times New Roman"/>
          <w:b/>
          <w:spacing w:val="40"/>
          <w:sz w:val="22"/>
          <w:u w:val="thick"/>
        </w:rPr>
        <w:t> </w:t>
      </w:r>
      <w:r>
        <w:rPr>
          <w:rFonts w:ascii="Times New Roman" w:hAnsi="Times New Roman"/>
          <w:b/>
          <w:sz w:val="22"/>
          <w:u w:val="thick"/>
        </w:rPr>
        <w:t>A :</w:t>
      </w:r>
      <w:r>
        <w:rPr>
          <w:rFonts w:ascii="Times New Roman" w:hAnsi="Times New Roman"/>
          <w:b/>
          <w:sz w:val="22"/>
        </w:rPr>
        <w:t> </w:t>
      </w:r>
      <w:r>
        <w:rPr>
          <w:sz w:val="22"/>
        </w:rPr>
        <w:t>L’item est </w:t>
      </w:r>
      <w:r>
        <w:rPr>
          <w:rFonts w:ascii="Times New Roman" w:hAnsi="Times New Roman"/>
          <w:b/>
          <w:color w:val="CC0000"/>
          <w:sz w:val="22"/>
        </w:rPr>
        <w:t>FAUX </w:t>
      </w:r>
      <w:r>
        <w:rPr>
          <w:sz w:val="22"/>
        </w:rPr>
        <w:t>comme l’indique la correction,</w:t>
      </w:r>
      <w:r>
        <w:rPr>
          <w:sz w:val="22"/>
        </w:rPr>
        <w:t> et non</w:t>
      </w:r>
      <w:r>
        <w:rPr>
          <w:sz w:val="22"/>
        </w:rPr>
        <w:t> vrai comme l’indique la grille.</w:t>
      </w:r>
    </w:p>
    <w:sectPr>
      <w:type w:val="continuous"/>
      <w:pgSz w:w="1192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man Old Style">
    <w:altName w:val="Bookman Old Style"/>
    <w:charset w:val="1"/>
    <w:family w:val="roman"/>
    <w:pitch w:val="variable"/>
  </w:font>
  <w:font w:name="SimSun-ExtB">
    <w:altName w:val="SimSun-ExtB"/>
    <w:charset w:val="1"/>
    <w:family w:val="modern"/>
    <w:pitch w:val="default"/>
  </w:font>
  <w:font w:name="Palatino Linotype">
    <w:altName w:val="Palatino Linotype"/>
    <w:charset w:val="1"/>
    <w:family w:val="roman"/>
    <w:pitch w:val="variable"/>
  </w:font>
  <w:font w:name="MingLiU_HKSCS-ExtB">
    <w:altName w:val="MingLiU_HKSCS-ExtB"/>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fr-FR" w:eastAsia="en-US" w:bidi="ar-SA"/>
    </w:rPr>
  </w:style>
  <w:style w:styleId="BodyText" w:type="paragraph">
    <w:name w:val="Body Text"/>
    <w:basedOn w:val="Normal"/>
    <w:uiPriority w:val="1"/>
    <w:qFormat/>
    <w:pPr/>
    <w:rPr>
      <w:rFonts w:ascii="Palatino Linotype" w:hAnsi="Palatino Linotype" w:eastAsia="Palatino Linotype" w:cs="Palatino Linotype"/>
      <w:sz w:val="22"/>
      <w:szCs w:val="22"/>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ERRATAS TUTO 2 BIOCELL </dc:title>
  <dcterms:created xsi:type="dcterms:W3CDTF">2026-10-26T19:54:52Z</dcterms:created>
  <dcterms:modified xsi:type="dcterms:W3CDTF">2026-10-26T19:54:52Z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Docs Renderer</vt:lpwstr>
  </property>
  <property fmtid="{D5CDD505-2E9C-101B-9397-08002B2CF9AE}" pid="5" name="LastSaved">
    <vt:filetime>2026-10-26T00:00:00Z</vt:filetime>
  </property>
</Properties>
</file>