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127"/>
        <w:jc w:val="center"/>
      </w:pPr>
      <w:r>
        <w:rPr/>
        <w:t>Erratas</w:t>
      </w:r>
      <w:r>
        <w:rPr>
          <w:spacing w:val="-6"/>
        </w:rPr>
        <w:t> </w:t>
      </w:r>
      <w:r>
        <w:rPr/>
        <w:t>tuto</w:t>
      </w:r>
      <w:r>
        <w:rPr>
          <w:spacing w:val="-5"/>
        </w:rPr>
        <w:t> </w:t>
      </w:r>
      <w:r>
        <w:rPr/>
        <w:t>n°2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Santé</w:t>
      </w:r>
      <w:r>
        <w:rPr>
          <w:spacing w:val="-5"/>
        </w:rPr>
        <w:t> </w:t>
      </w:r>
      <w:r>
        <w:rPr/>
        <w:t>Publique</w:t>
      </w:r>
      <w:r>
        <w:rPr>
          <w:spacing w:val="-5"/>
        </w:rPr>
        <w:t> </w:t>
      </w:r>
      <w:r>
        <w:rPr/>
        <w:t>(oskour</w:t>
      </w:r>
      <w:r>
        <w:rPr>
          <w:spacing w:val="-5"/>
        </w:rPr>
        <w:t> </w:t>
      </w:r>
      <w:r>
        <w:rPr>
          <w:rFonts w:ascii="Bookman Old Style" w:hAnsi="Bookman Old Style" w:eastAsia="Bookman Old Style"/>
          <w:spacing w:val="-5"/>
          <w:sz w:val="26"/>
        </w:rPr>
        <w:t>😞</w:t>
      </w:r>
      <w:r>
        <w:rPr>
          <w:spacing w:val="-5"/>
        </w:rPr>
        <w:t>)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16</w:t>
      </w:r>
    </w:p>
    <w:p>
      <w:pPr>
        <w:pStyle w:val="BodyText"/>
      </w:pPr>
      <w:r>
        <w:rPr/>
        <w:t>Item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>
          <w:i/>
        </w:rPr>
        <w:t>faux</w:t>
      </w:r>
      <w:r>
        <w:rPr/>
        <w:t>)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lutte</w:t>
      </w:r>
      <w:r>
        <w:rPr>
          <w:spacing w:val="-4"/>
        </w:rPr>
        <w:t> </w:t>
      </w:r>
      <w:r>
        <w:rPr/>
        <w:t>contre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tabac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commencé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1976</w:t>
      </w:r>
      <w:r>
        <w:rPr>
          <w:spacing w:val="-4"/>
        </w:rPr>
        <w:t> </w:t>
      </w:r>
      <w:r>
        <w:rPr/>
        <w:t>avec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loi</w:t>
      </w:r>
      <w:r>
        <w:rPr>
          <w:spacing w:val="-3"/>
        </w:rPr>
        <w:t> </w:t>
      </w:r>
      <w:r>
        <w:rPr>
          <w:spacing w:val="-4"/>
        </w:rPr>
        <w:t>Veil</w:t>
      </w:r>
    </w:p>
    <w:p>
      <w:pPr>
        <w:pStyle w:val="BodyText"/>
        <w:spacing w:before="76"/>
        <w:ind w:left="0"/>
      </w:pPr>
    </w:p>
    <w:p>
      <w:pPr>
        <w:pStyle w:val="Heading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17</w:t>
      </w:r>
    </w:p>
    <w:p>
      <w:pPr>
        <w:pStyle w:val="BodyText"/>
        <w:spacing w:line="276" w:lineRule="auto"/>
      </w:pPr>
      <w:r>
        <w:rPr/>
        <w:t>Item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>
          <w:i/>
        </w:rPr>
        <w:t>faux</w:t>
      </w:r>
      <w:r>
        <w:rPr/>
        <w:t>)</w:t>
      </w:r>
      <w:r>
        <w:rPr>
          <w:spacing w:val="-4"/>
        </w:rPr>
        <w:t> </w:t>
      </w:r>
      <w:r>
        <w:rPr/>
        <w:t>L’alcool</w:t>
      </w:r>
      <w:r>
        <w:rPr>
          <w:spacing w:val="-4"/>
        </w:rPr>
        <w:t> </w:t>
      </w:r>
      <w:r>
        <w:rPr/>
        <w:t>multiplie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80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risque</w:t>
      </w:r>
      <w:r>
        <w:rPr>
          <w:spacing w:val="-4"/>
        </w:rPr>
        <w:t> </w:t>
      </w:r>
      <w:r>
        <w:rPr/>
        <w:t>d’avoir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accident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voie</w:t>
      </w:r>
      <w:r>
        <w:rPr>
          <w:spacing w:val="-4"/>
        </w:rPr>
        <w:t> </w:t>
      </w:r>
      <w:r>
        <w:rPr/>
        <w:t>publique</w:t>
      </w:r>
      <w:r>
        <w:rPr>
          <w:spacing w:val="-4"/>
        </w:rPr>
        <w:t> </w:t>
      </w:r>
      <w:r>
        <w:rPr/>
        <w:t>à un taux supérieur à 2g/L.</w:t>
      </w:r>
    </w:p>
    <w:p>
      <w:pPr>
        <w:pStyle w:val="BodyText"/>
        <w:ind w:left="0"/>
      </w:pPr>
    </w:p>
    <w:p>
      <w:pPr>
        <w:pStyle w:val="Heading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19</w:t>
      </w:r>
    </w:p>
    <w:p>
      <w:pPr>
        <w:pStyle w:val="BodyText"/>
      </w:pPr>
      <w:r>
        <w:rPr/>
        <w:t>-la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devient</w:t>
      </w:r>
      <w:r>
        <w:rPr>
          <w:spacing w:val="-6"/>
        </w:rPr>
        <w:t> </w:t>
      </w:r>
      <w:r>
        <w:rPr/>
        <w:t>fausse</w:t>
      </w:r>
      <w:r>
        <w:rPr>
          <w:spacing w:val="-5"/>
        </w:rPr>
        <w:t> </w:t>
      </w:r>
      <w:r>
        <w:rPr/>
        <w:t>parce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hommes</w:t>
      </w:r>
      <w:r>
        <w:rPr>
          <w:spacing w:val="-5"/>
        </w:rPr>
        <w:t> </w:t>
      </w:r>
      <w:r>
        <w:rPr/>
        <w:t>respectent</w:t>
      </w:r>
      <w:r>
        <w:rPr>
          <w:spacing w:val="-6"/>
        </w:rPr>
        <w:t> </w:t>
      </w:r>
      <w:r>
        <w:rPr/>
        <w:t>bien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recommandations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/>
      </w:pPr>
      <w:r>
        <w:rPr/>
        <w:t>Ce tableau détaille la prévalence de l'atteinte des recommandations d'activité physique par facteurs</w:t>
      </w:r>
      <w:r>
        <w:rPr>
          <w:spacing w:val="-4"/>
        </w:rPr>
        <w:t> </w:t>
      </w:r>
      <w:r>
        <w:rPr/>
        <w:t>socio-professionnels,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signifie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valeurs</w:t>
      </w:r>
      <w:r>
        <w:rPr>
          <w:spacing w:val="-4"/>
        </w:rPr>
        <w:t> </w:t>
      </w:r>
      <w:r>
        <w:rPr/>
        <w:t>élevées,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aura</w:t>
      </w:r>
      <w:r>
        <w:rPr>
          <w:spacing w:val="-4"/>
        </w:rPr>
        <w:t> </w:t>
      </w:r>
      <w:r>
        <w:rPr/>
        <w:t>plus</w:t>
      </w:r>
      <w:r>
        <w:rPr>
          <w:spacing w:val="-4"/>
        </w:rPr>
        <w:t> </w:t>
      </w:r>
      <w:r>
        <w:rPr/>
        <w:t>de personnes par catégorie (tranche d'âge, situation professionnelle,...) qui respecteront les recommandations d'activité physique. Quand on regarde la colonne de l’âge, on constate que les proportions vont de 65,4% pour les plus âgés à 78,8% pour les plus jeunes, tandis que chez les femmes ces proportions vont de 51,9% à 61,7%.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76" w:lineRule="auto" w:before="0" w:after="0"/>
        <w:ind w:left="23" w:right="298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(vraie)</w:t>
      </w:r>
      <w:r>
        <w:rPr>
          <w:spacing w:val="-3"/>
          <w:sz w:val="22"/>
        </w:rPr>
        <w:t> </w:t>
      </w:r>
      <w:r>
        <w:rPr>
          <w:sz w:val="22"/>
        </w:rPr>
        <w:t>c’est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3"/>
          <w:sz w:val="22"/>
        </w:rPr>
        <w:t> </w:t>
      </w:r>
      <w:r>
        <w:rPr>
          <w:sz w:val="22"/>
        </w:rPr>
        <w:t>cours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l’alimentation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l'activité</w:t>
      </w:r>
      <w:r>
        <w:rPr>
          <w:spacing w:val="-3"/>
          <w:sz w:val="22"/>
        </w:rPr>
        <w:t> </w:t>
      </w:r>
      <w:r>
        <w:rPr>
          <w:sz w:val="22"/>
        </w:rPr>
        <w:t>physique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3"/>
          <w:sz w:val="22"/>
        </w:rPr>
        <w:t> </w:t>
      </w:r>
      <w:r>
        <w:rPr>
          <w:sz w:val="22"/>
        </w:rPr>
        <w:t>bien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facteurs</w:t>
      </w:r>
      <w:r>
        <w:rPr>
          <w:spacing w:val="-3"/>
          <w:sz w:val="22"/>
        </w:rPr>
        <w:t> </w:t>
      </w:r>
      <w:r>
        <w:rPr>
          <w:sz w:val="22"/>
        </w:rPr>
        <w:t>de risques pour les maladies énoncées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0" w:after="0"/>
        <w:ind w:left="156" w:right="0" w:hanging="133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</w:t>
      </w:r>
      <w:r>
        <w:rPr>
          <w:spacing w:val="56"/>
          <w:sz w:val="22"/>
        </w:rPr>
        <w:t> </w:t>
      </w:r>
      <w:r>
        <w:rPr>
          <w:sz w:val="22"/>
        </w:rPr>
        <w:t>reste</w:t>
      </w:r>
      <w:r>
        <w:rPr>
          <w:spacing w:val="-3"/>
          <w:sz w:val="22"/>
        </w:rPr>
        <w:t> </w:t>
      </w:r>
      <w:r>
        <w:rPr>
          <w:sz w:val="22"/>
        </w:rPr>
        <w:t>fausse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donne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line="276" w:lineRule="auto"/>
      </w:pPr>
      <w:r>
        <w:rPr/>
        <w:t>Même si les valeurs sont plutôt similaires entre les différentes tailles d'agglomération pour les</w:t>
      </w:r>
      <w:r>
        <w:rPr>
          <w:spacing w:val="-3"/>
        </w:rPr>
        <w:t> </w:t>
      </w:r>
      <w:r>
        <w:rPr/>
        <w:t>femmes</w:t>
      </w:r>
      <w:r>
        <w:rPr>
          <w:spacing w:val="-3"/>
        </w:rPr>
        <w:t> </w:t>
      </w:r>
      <w:r>
        <w:rPr/>
        <w:t>(60,7%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communes</w:t>
      </w:r>
      <w:r>
        <w:rPr>
          <w:spacing w:val="-3"/>
        </w:rPr>
        <w:t> </w:t>
      </w:r>
      <w:r>
        <w:rPr/>
        <w:t>rurales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61,6%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communes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000</w:t>
      </w:r>
      <w:r>
        <w:rPr>
          <w:spacing w:val="-3"/>
        </w:rPr>
        <w:t> </w:t>
      </w:r>
      <w:r>
        <w:rPr/>
        <w:t>à 199 999 habitants), on constate que les communes rurales présentent une prévalence du respect des recommandations d'AP plus élevée pour les deux sexes (77,2% pour les hommes et 60,7% pour les femmes), comparées aux communes les plus densément peuplées de la région parisienne (67,6% pour les hommes et 56,0% pour les femmes) qui ont une prévalence plus faible, donc présentent un respect moindre de ces recommandations d'AP. On ne peut donc pas affirmer qu’il n’y a pas de corrélation, mais attention on ne peut pas non plus affirmer qu’il y en a une, on peut seulement en faire </w:t>
      </w:r>
      <w:r>
        <w:rPr>
          <w:spacing w:val="-2"/>
        </w:rPr>
        <w:t>l’hypothèse.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0" w:after="0"/>
        <w:ind w:left="156" w:right="0" w:hanging="133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</w:t>
      </w:r>
      <w:r>
        <w:rPr>
          <w:spacing w:val="-3"/>
          <w:sz w:val="22"/>
        </w:rPr>
        <w:t> </w:t>
      </w:r>
      <w:r>
        <w:rPr>
          <w:sz w:val="22"/>
        </w:rPr>
        <w:t>reste</w:t>
      </w:r>
      <w:r>
        <w:rPr>
          <w:spacing w:val="-2"/>
          <w:sz w:val="22"/>
        </w:rPr>
        <w:t> vraie</w:t>
      </w:r>
    </w:p>
    <w:p>
      <w:pPr>
        <w:pStyle w:val="ListParagraph"/>
        <w:numPr>
          <w:ilvl w:val="0"/>
          <w:numId w:val="1"/>
        </w:numPr>
        <w:tabs>
          <w:tab w:pos="156" w:val="left" w:leader="none"/>
        </w:tabs>
        <w:spacing w:line="240" w:lineRule="auto" w:before="38" w:after="0"/>
        <w:ind w:left="156" w:right="0" w:hanging="133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devient</w:t>
      </w:r>
      <w:r>
        <w:rPr>
          <w:spacing w:val="-4"/>
          <w:sz w:val="22"/>
        </w:rPr>
        <w:t> </w:t>
      </w:r>
      <w:r>
        <w:rPr>
          <w:sz w:val="22"/>
        </w:rPr>
        <w:t>vraie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line="276" w:lineRule="auto"/>
      </w:pPr>
      <w:r>
        <w:rPr/>
        <w:t>Dans</w:t>
      </w:r>
      <w:r>
        <w:rPr>
          <w:spacing w:val="-4"/>
        </w:rPr>
        <w:t> </w:t>
      </w:r>
      <w:r>
        <w:rPr/>
        <w:t>toutes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catégories,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observe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proportions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toutes</w:t>
      </w:r>
      <w:r>
        <w:rPr>
          <w:spacing w:val="-4"/>
        </w:rPr>
        <w:t> </w:t>
      </w:r>
      <w:r>
        <w:rPr/>
        <w:t>supérieures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50%, ce qui signifie que plus de 50% des participants semblent respecter les recommandations d'activité physique.</w:t>
      </w:r>
    </w:p>
    <w:sectPr>
      <w:type w:val="continuous"/>
      <w:pgSz w:w="11920" w:h="1684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3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12" w:hanging="13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4" w:hanging="13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97" w:hanging="13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9" w:hanging="13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82" w:hanging="13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74" w:hanging="13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66" w:hanging="13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59" w:hanging="135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3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6" w:hanging="133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n°2 de Santé Publique (oskour 😞)</dc:title>
  <dcterms:created xsi:type="dcterms:W3CDTF">2026-10-26T20:09:48Z</dcterms:created>
  <dcterms:modified xsi:type="dcterms:W3CDTF">2026-10-26T20:09:48Z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