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color w:val="731B46"/>
          <w:u w:val="thick" w:color="731B46"/>
        </w:rPr>
        <w:t>Errata</w:t>
      </w:r>
      <w:r>
        <w:rPr>
          <w:color w:val="731B46"/>
          <w:spacing w:val="-7"/>
          <w:u w:val="thick" w:color="731B46"/>
        </w:rPr>
        <w:t> </w:t>
      </w:r>
      <w:r>
        <w:rPr>
          <w:color w:val="731B46"/>
          <w:u w:val="thick" w:color="731B46"/>
        </w:rPr>
        <w:t>Tuto</w:t>
      </w:r>
      <w:r>
        <w:rPr>
          <w:color w:val="731B46"/>
          <w:spacing w:val="-6"/>
          <w:u w:val="thick" w:color="731B46"/>
        </w:rPr>
        <w:t> </w:t>
      </w:r>
      <w:r>
        <w:rPr>
          <w:color w:val="731B46"/>
          <w:u w:val="thick" w:color="731B46"/>
        </w:rPr>
        <w:t>2</w:t>
      </w:r>
      <w:r>
        <w:rPr>
          <w:color w:val="731B46"/>
          <w:spacing w:val="-6"/>
          <w:u w:val="thick" w:color="731B46"/>
        </w:rPr>
        <w:t> </w:t>
      </w:r>
      <w:r>
        <w:rPr>
          <w:color w:val="731B46"/>
          <w:u w:val="thick" w:color="731B46"/>
        </w:rPr>
        <w:t>d’ICM</w:t>
      </w:r>
      <w:r>
        <w:rPr>
          <w:color w:val="731B46"/>
          <w:spacing w:val="-6"/>
          <w:u w:val="thick" w:color="731B46"/>
        </w:rPr>
        <w:t> </w:t>
      </w:r>
      <w:r>
        <w:rPr>
          <w:color w:val="731B46"/>
          <w:u w:val="thick" w:color="731B46"/>
        </w:rPr>
        <w:t>24-</w:t>
      </w:r>
      <w:r>
        <w:rPr>
          <w:color w:val="731B46"/>
          <w:spacing w:val="-5"/>
          <w:u w:val="thick" w:color="731B46"/>
        </w:rPr>
        <w:t>25</w:t>
      </w:r>
    </w:p>
    <w:p>
      <w:pPr>
        <w:pStyle w:val="BodyText"/>
        <w:rPr>
          <w:rFonts w:ascii="Arial Narrow"/>
          <w:sz w:val="20"/>
        </w:rPr>
      </w:pPr>
    </w:p>
    <w:p>
      <w:pPr>
        <w:pStyle w:val="BodyText"/>
        <w:rPr>
          <w:rFonts w:ascii="Arial Narrow"/>
          <w:sz w:val="20"/>
        </w:rPr>
      </w:pPr>
    </w:p>
    <w:p>
      <w:pPr>
        <w:pStyle w:val="BodyText"/>
        <w:rPr>
          <w:rFonts w:ascii="Arial Narrow"/>
          <w:sz w:val="20"/>
        </w:rPr>
      </w:pPr>
    </w:p>
    <w:p>
      <w:pPr>
        <w:pStyle w:val="BodyText"/>
        <w:spacing w:before="103"/>
        <w:rPr>
          <w:rFonts w:ascii="Arial Narrow"/>
          <w:sz w:val="20"/>
        </w:rPr>
      </w:pPr>
      <w:r>
        <w:rPr>
          <w:rFonts w:ascii="Arial Narro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463550</wp:posOffset>
                </wp:positionH>
                <wp:positionV relativeFrom="paragraph">
                  <wp:posOffset>232816</wp:posOffset>
                </wp:positionV>
                <wp:extent cx="6629400" cy="3048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629400" cy="304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84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Q26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Item(s)</w:t>
                            </w:r>
                            <w:r>
                              <w:rPr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.5pt;margin-top:18.332027pt;width:522pt;height:24pt;mso-position-horizontal-relative:page;mso-position-vertical-relative:paragraph;z-index:-15728640;mso-wrap-distance-left:0;mso-wrap-distance-right:0" type="#_x0000_t202" id="docshape1" filled="true" fillcolor="#f2f2f2" stroked="true" strokeweight="1.0pt" strokecolor="#000000">
                <v:textbox inset="0,0,0,0">
                  <w:txbxContent>
                    <w:p>
                      <w:pPr>
                        <w:spacing w:before="106"/>
                        <w:ind w:left="84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Q26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→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Item(s)</w:t>
                      </w:r>
                      <w:r>
                        <w:rPr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2"/>
                        </w:rPr>
                        <w:t>B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Arial Narrow"/>
        </w:rPr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z w:val="24"/>
        </w:rPr>
        <w:t>L</w:t>
      </w:r>
      <w:r>
        <w:rPr>
          <w:b/>
          <w:sz w:val="24"/>
        </w:rPr>
        <w:t>’item est vrai</w:t>
      </w:r>
      <w:r>
        <w:rPr>
          <w:sz w:val="24"/>
        </w:rPr>
        <w:t>, la correction est bonne bien que </w:t>
      </w:r>
      <w:r>
        <w:rPr>
          <w:spacing w:val="-2"/>
          <w:sz w:val="24"/>
        </w:rPr>
        <w:t>bizarre.</w:t>
      </w:r>
    </w:p>
    <w:p>
      <w:pPr>
        <w:pStyle w:val="BodyText"/>
        <w:spacing w:line="276" w:lineRule="auto" w:before="42"/>
        <w:ind w:left="732" w:right="858" w:firstLine="720"/>
      </w:pPr>
      <w:r>
        <w:rPr/>
        <w:t>Les</w:t>
      </w:r>
      <w:r>
        <w:rPr>
          <w:spacing w:val="-5"/>
        </w:rPr>
        <w:t> </w:t>
      </w:r>
      <w:r>
        <w:rPr/>
        <w:t>benzodiazépines</w:t>
      </w:r>
      <w:r>
        <w:rPr>
          <w:spacing w:val="-5"/>
        </w:rPr>
        <w:t> </w:t>
      </w:r>
      <w:r>
        <w:rPr/>
        <w:t>facilitent</w:t>
      </w:r>
      <w:r>
        <w:rPr>
          <w:spacing w:val="-5"/>
        </w:rPr>
        <w:t> </w:t>
      </w:r>
      <w:r>
        <w:rPr/>
        <w:t>l’ouverture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canal</w:t>
      </w:r>
      <w:r>
        <w:rPr>
          <w:spacing w:val="-5"/>
        </w:rPr>
        <w:t> </w:t>
      </w:r>
      <w:r>
        <w:rPr/>
        <w:t>après</w:t>
      </w:r>
      <w:r>
        <w:rPr>
          <w:spacing w:val="-5"/>
        </w:rPr>
        <w:t> </w:t>
      </w:r>
      <w:r>
        <w:rPr/>
        <w:t>fixation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GABA sur le Rc, donc la présence du GABA est nécessaire pour activer les BZD.</w:t>
      </w:r>
    </w:p>
    <w:p>
      <w:pPr>
        <w:pStyle w:val="BodyText"/>
        <w:spacing w:before="14"/>
      </w:pPr>
    </w:p>
    <w:p>
      <w:pPr>
        <w:spacing w:before="1"/>
        <w:ind w:left="732" w:right="0" w:firstLine="0"/>
        <w:jc w:val="left"/>
        <w:rPr>
          <w:b/>
          <w:sz w:val="22"/>
        </w:rPr>
      </w:pPr>
      <w:r>
        <w:rPr>
          <w:sz w:val="22"/>
        </w:rPr>
        <w:t>Bilan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réponse: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BE</w:t>
      </w: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539750</wp:posOffset>
                </wp:positionH>
                <wp:positionV relativeFrom="paragraph">
                  <wp:posOffset>205696</wp:posOffset>
                </wp:positionV>
                <wp:extent cx="6477000" cy="2921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77000" cy="2921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84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Q9</w:t>
                            </w:r>
                            <w:r>
                              <w:rPr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6.196562pt;width:510pt;height:23pt;mso-position-horizontal-relative:page;mso-position-vertical-relative:paragraph;z-index:-15728128;mso-wrap-distance-left:0;mso-wrap-distance-right:0" type="#_x0000_t202" id="docshape2" filled="true" fillcolor="#f2f2f2" stroked="true" strokeweight="1.0pt" strokecolor="#000000">
                <v:textbox inset="0,0,0,0">
                  <w:txbxContent>
                    <w:p>
                      <w:pPr>
                        <w:spacing w:before="101"/>
                        <w:ind w:left="84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Q9</w:t>
                      </w:r>
                      <w:r>
                        <w:rPr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→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Item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2"/>
                        </w:rPr>
                        <w:t>B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b/>
        </w:rPr>
      </w:pPr>
    </w:p>
    <w:p>
      <w:pPr>
        <w:pStyle w:val="BodyText"/>
        <w:spacing w:line="276" w:lineRule="auto"/>
        <w:ind w:left="732" w:right="679"/>
      </w:pPr>
      <w:r>
        <w:rPr/>
        <w:t>L’</w:t>
      </w:r>
      <w:r>
        <w:rPr>
          <w:b/>
        </w:rPr>
        <w:t>item</w:t>
      </w:r>
      <w:r>
        <w:rPr>
          <w:b/>
          <w:spacing w:val="-4"/>
        </w:rPr>
        <w:t> </w:t>
      </w:r>
      <w:r>
        <w:rPr>
          <w:b/>
        </w:rPr>
        <w:t>est</w:t>
      </w:r>
      <w:r>
        <w:rPr>
          <w:b/>
          <w:spacing w:val="-4"/>
        </w:rPr>
        <w:t> </w:t>
      </w:r>
      <w:r>
        <w:rPr>
          <w:b/>
        </w:rPr>
        <w:t>faux</w:t>
      </w:r>
      <w:r>
        <w:rPr/>
        <w:t>,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décrit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insulines</w:t>
      </w:r>
      <w:r>
        <w:rPr>
          <w:spacing w:val="-4"/>
        </w:rPr>
        <w:t> </w:t>
      </w:r>
      <w:r>
        <w:rPr/>
        <w:t>ultra-rapides.</w:t>
      </w:r>
      <w:r>
        <w:rPr>
          <w:spacing w:val="-4"/>
        </w:rPr>
        <w:t> </w:t>
      </w:r>
      <w:r>
        <w:rPr/>
        <w:t>Alors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insuline</w:t>
      </w:r>
      <w:r>
        <w:rPr>
          <w:spacing w:val="-4"/>
        </w:rPr>
        <w:t> </w:t>
      </w:r>
      <w:r>
        <w:rPr/>
        <w:t>rapides</w:t>
      </w:r>
      <w:r>
        <w:rPr>
          <w:spacing w:val="-4"/>
        </w:rPr>
        <w:t> </w:t>
      </w:r>
      <w:r>
        <w:rPr/>
        <w:t>ont le même délai(30min) et durée d’action(6-8h) que l’insuline ordinaire</w:t>
      </w:r>
    </w:p>
    <w:p>
      <w:pPr>
        <w:pStyle w:val="BodyText"/>
        <w:spacing w:before="41"/>
      </w:pPr>
    </w:p>
    <w:p>
      <w:pPr>
        <w:spacing w:before="1"/>
        <w:ind w:left="732" w:right="0" w:firstLine="0"/>
        <w:jc w:val="left"/>
        <w:rPr>
          <w:b/>
          <w:sz w:val="23"/>
        </w:rPr>
      </w:pPr>
      <w:r>
        <w:rPr>
          <w:sz w:val="23"/>
          <w:u w:val="single"/>
        </w:rPr>
        <w:t>Bilan</w:t>
      </w:r>
      <w:r>
        <w:rPr>
          <w:spacing w:val="-4"/>
          <w:sz w:val="23"/>
          <w:u w:val="single"/>
        </w:rPr>
        <w:t> </w:t>
      </w:r>
      <w:r>
        <w:rPr>
          <w:sz w:val="23"/>
          <w:u w:val="single"/>
        </w:rPr>
        <w:t>de</w:t>
      </w:r>
      <w:r>
        <w:rPr>
          <w:spacing w:val="-4"/>
          <w:sz w:val="23"/>
          <w:u w:val="single"/>
        </w:rPr>
        <w:t> </w:t>
      </w:r>
      <w:r>
        <w:rPr>
          <w:sz w:val="23"/>
          <w:u w:val="single"/>
        </w:rPr>
        <w:t>réponse</w:t>
      </w:r>
      <w:r>
        <w:rPr>
          <w:spacing w:val="-4"/>
          <w:sz w:val="23"/>
          <w:u w:val="single"/>
        </w:rPr>
        <w:t> </w:t>
      </w:r>
      <w:r>
        <w:rPr>
          <w:sz w:val="23"/>
          <w:u w:val="single"/>
        </w:rPr>
        <w:t>:</w:t>
      </w:r>
      <w:r>
        <w:rPr>
          <w:spacing w:val="-3"/>
          <w:sz w:val="23"/>
        </w:rPr>
        <w:t> </w:t>
      </w:r>
      <w:r>
        <w:rPr>
          <w:b/>
          <w:spacing w:val="-5"/>
          <w:sz w:val="23"/>
        </w:rPr>
        <w:t>CE</w:t>
      </w:r>
    </w:p>
    <w:sectPr>
      <w:type w:val="continuous"/>
      <w:pgSz w:w="11920" w:h="16840"/>
      <w:pgMar w:top="13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right="12"/>
      <w:jc w:val="center"/>
      <w:outlineLvl w:val="1"/>
    </w:pPr>
    <w:rPr>
      <w:rFonts w:ascii="Arial Narrow" w:hAnsi="Arial Narrow" w:eastAsia="Arial Narrow" w:cs="Arial Narrow"/>
      <w:sz w:val="44"/>
      <w:szCs w:val="44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2 d’ICM 24-25</dc:title>
  <dcterms:created xsi:type="dcterms:W3CDTF">2026-10-26T20:18:13Z</dcterms:created>
  <dcterms:modified xsi:type="dcterms:W3CDTF">2026-10-26T20:18:13Z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