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8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2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93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36"/>
        </w:rPr>
        <w:t> </w:t>
      </w:r>
      <w:r>
        <w:rPr>
          <w:color w:val="811833"/>
        </w:rPr>
        <w:t>8</w:t>
      </w:r>
      <w:r>
        <w:rPr>
          <w:color w:val="811833"/>
          <w:spacing w:val="36"/>
        </w:rPr>
        <w:t> </w:t>
      </w:r>
      <w:r>
        <w:rPr>
          <w:color w:val="811833"/>
        </w:rPr>
        <w:t>:</w:t>
      </w:r>
      <w:r>
        <w:rPr>
          <w:color w:val="811833"/>
          <w:spacing w:val="36"/>
        </w:rPr>
        <w:t> </w:t>
      </w:r>
      <w:r>
        <w:rPr>
          <w:color w:val="811833"/>
          <w:spacing w:val="-5"/>
        </w:rPr>
        <w:t>ICM</w:t>
      </w:r>
    </w:p>
    <w:p>
      <w:pPr>
        <w:pStyle w:val="BodyText"/>
        <w:spacing w:before="2"/>
        <w:ind w:left="0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96358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9"/>
          <w:sz w:val="38"/>
        </w:rPr>
        <w:t> </w:t>
      </w:r>
      <w:r>
        <w:rPr>
          <w:sz w:val="38"/>
        </w:rPr>
        <w:t>l’épreuve</w:t>
      </w:r>
      <w:r>
        <w:rPr>
          <w:spacing w:val="-19"/>
          <w:sz w:val="38"/>
        </w:rPr>
        <w:t> </w:t>
      </w:r>
      <w:r>
        <w:rPr>
          <w:sz w:val="38"/>
        </w:rPr>
        <w:t>:</w:t>
      </w:r>
      <w:r>
        <w:rPr>
          <w:spacing w:val="-1"/>
          <w:sz w:val="38"/>
        </w:rPr>
        <w:t> </w:t>
      </w:r>
      <w:r>
        <w:rPr>
          <w:rFonts w:ascii="Georgia" w:hAnsi="Georgia"/>
          <w:b/>
          <w:color w:val="811833"/>
          <w:sz w:val="38"/>
        </w:rPr>
        <w:t>45</w:t>
      </w:r>
      <w:r>
        <w:rPr>
          <w:rFonts w:ascii="Georgia" w:hAnsi="Georgia"/>
          <w:b/>
          <w:color w:val="811833"/>
          <w:spacing w:val="-2"/>
          <w:sz w:val="38"/>
        </w:rPr>
        <w:t> minutes</w:t>
      </w:r>
    </w:p>
    <w:p>
      <w:pPr>
        <w:pStyle w:val="BodyText"/>
        <w:spacing w:before="38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4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14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14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35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4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14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14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35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ind w:left="0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2"/>
        </w:rPr>
        <w:t> </w:t>
      </w:r>
      <w:r>
        <w:rPr>
          <w:spacing w:val="-8"/>
        </w:rPr>
        <w:t>l’histoire</w:t>
      </w:r>
      <w:r>
        <w:rPr>
          <w:spacing w:val="22"/>
        </w:rPr>
        <w:t> </w:t>
      </w:r>
      <w:r>
        <w:rPr>
          <w:spacing w:val="-8"/>
        </w:rPr>
        <w:t>des</w:t>
      </w:r>
      <w:r>
        <w:rPr>
          <w:spacing w:val="22"/>
        </w:rPr>
        <w:t> </w:t>
      </w:r>
      <w:r>
        <w:rPr>
          <w:spacing w:val="-8"/>
        </w:rPr>
        <w:t>médicaments</w:t>
      </w:r>
      <w:r>
        <w:rPr>
          <w:spacing w:val="22"/>
        </w:rPr>
        <w:t> </w:t>
      </w:r>
      <w:r>
        <w:rPr>
          <w:spacing w:val="-8"/>
        </w:rPr>
        <w:t>laquelle</w:t>
      </w:r>
      <w:r>
        <w:rPr>
          <w:spacing w:val="22"/>
        </w:rPr>
        <w:t> </w:t>
      </w:r>
      <w:r>
        <w:rPr>
          <w:spacing w:val="-8"/>
        </w:rPr>
        <w:t>(lesquelles)</w:t>
      </w:r>
      <w:r>
        <w:rPr>
          <w:spacing w:val="22"/>
        </w:rPr>
        <w:t> </w:t>
      </w:r>
      <w:r>
        <w:rPr>
          <w:spacing w:val="-8"/>
        </w:rPr>
        <w:t>des</w:t>
      </w:r>
      <w:r>
        <w:rPr>
          <w:spacing w:val="22"/>
        </w:rPr>
        <w:t> </w:t>
      </w:r>
      <w:r>
        <w:rPr>
          <w:spacing w:val="-8"/>
        </w:rPr>
        <w:t>propositions</w:t>
      </w:r>
      <w:r>
        <w:rPr>
          <w:spacing w:val="22"/>
        </w:rPr>
        <w:t> </w:t>
      </w:r>
      <w:r>
        <w:rPr>
          <w:spacing w:val="-8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Herman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Boerhaave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description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néfastes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l’opium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l’occident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chrétien,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pense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qu’il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ressort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l’Homme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soulager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 </w:t>
      </w:r>
      <w:r>
        <w:rPr>
          <w:spacing w:val="-2"/>
          <w:w w:val="105"/>
          <w:sz w:val="24"/>
        </w:rPr>
        <w:t>douleur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Blaise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Pascal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accord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idées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chrétiennes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lesquelles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accepter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la douleur telle quelle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Velpeau,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1840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émet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l’idée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chirurgien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d’être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soucieux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douleur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patient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L’obstétrique</w:t>
      </w:r>
      <w:r>
        <w:rPr>
          <w:spacing w:val="12"/>
          <w:sz w:val="24"/>
        </w:rPr>
        <w:t> </w:t>
      </w:r>
      <w:r>
        <w:rPr>
          <w:sz w:val="24"/>
        </w:rPr>
        <w:t>accepte</w:t>
      </w:r>
      <w:r>
        <w:rPr>
          <w:spacing w:val="13"/>
          <w:sz w:val="24"/>
        </w:rPr>
        <w:t> </w:t>
      </w:r>
      <w:r>
        <w:rPr>
          <w:sz w:val="24"/>
        </w:rPr>
        <w:t>l’analgésie</w:t>
      </w:r>
      <w:r>
        <w:rPr>
          <w:spacing w:val="13"/>
          <w:sz w:val="24"/>
        </w:rPr>
        <w:t> </w:t>
      </w:r>
      <w:r>
        <w:rPr>
          <w:sz w:val="24"/>
        </w:rPr>
        <w:t>au</w:t>
      </w:r>
      <w:r>
        <w:rPr>
          <w:spacing w:val="13"/>
          <w:sz w:val="24"/>
        </w:rPr>
        <w:t> </w:t>
      </w:r>
      <w:r>
        <w:rPr>
          <w:sz w:val="24"/>
        </w:rPr>
        <w:t>XXe</w:t>
      </w:r>
      <w:r>
        <w:rPr>
          <w:spacing w:val="13"/>
          <w:sz w:val="24"/>
        </w:rPr>
        <w:t> </w:t>
      </w:r>
      <w:r>
        <w:rPr>
          <w:sz w:val="24"/>
        </w:rPr>
        <w:t>siècle</w:t>
      </w:r>
      <w:r>
        <w:rPr>
          <w:spacing w:val="13"/>
          <w:sz w:val="24"/>
        </w:rPr>
        <w:t> </w:t>
      </w:r>
      <w:r>
        <w:rPr>
          <w:sz w:val="24"/>
        </w:rPr>
        <w:t>alors</w:t>
      </w:r>
      <w:r>
        <w:rPr>
          <w:spacing w:val="13"/>
          <w:sz w:val="24"/>
        </w:rPr>
        <w:t> </w:t>
      </w:r>
      <w:r>
        <w:rPr>
          <w:sz w:val="24"/>
        </w:rPr>
        <w:t>que</w:t>
      </w:r>
      <w:r>
        <w:rPr>
          <w:spacing w:val="13"/>
          <w:sz w:val="24"/>
        </w:rPr>
        <w:t> </w:t>
      </w: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chirurgie</w:t>
      </w:r>
      <w:r>
        <w:rPr>
          <w:spacing w:val="13"/>
          <w:sz w:val="24"/>
        </w:rPr>
        <w:t> </w:t>
      </w:r>
      <w:r>
        <w:rPr>
          <w:sz w:val="24"/>
        </w:rPr>
        <w:t>l’accepte</w:t>
      </w:r>
      <w:r>
        <w:rPr>
          <w:spacing w:val="12"/>
          <w:sz w:val="24"/>
        </w:rPr>
        <w:t> </w:t>
      </w:r>
      <w:r>
        <w:rPr>
          <w:sz w:val="24"/>
        </w:rPr>
        <w:t>au</w:t>
      </w:r>
      <w:r>
        <w:rPr>
          <w:spacing w:val="13"/>
          <w:sz w:val="24"/>
        </w:rPr>
        <w:t> </w:t>
      </w:r>
      <w:r>
        <w:rPr>
          <w:sz w:val="24"/>
        </w:rPr>
        <w:t>XIXe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siècle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l’histoire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médicaments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R. Stockmann souligne 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puissance analgésique du diacétyl-mophine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 </w:t>
      </w:r>
      <w:r>
        <w:rPr>
          <w:spacing w:val="-4"/>
          <w:w w:val="105"/>
          <w:sz w:val="24"/>
        </w:rPr>
        <w:t>1887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Concernant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antagonistes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opiacés,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N-allylnormorphine,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opiacé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synthèse,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 synthétisée par Pohl en 1915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opioïdes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découverts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1873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Candace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Pert,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Salomon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Snyder, Eric Simon, Avram Goldstein, Lars Terenius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quatres premiers médicaments vendus par Bayer sont l’aspirine, l’héroïne, le lycetol et enfin le salophen</w:t>
      </w:r>
    </w:p>
    <w:p>
      <w:pPr>
        <w:pStyle w:val="ListParagraph"/>
        <w:numPr>
          <w:ilvl w:val="0"/>
          <w:numId w:val="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12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juillet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1916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prohiber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l’usage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morphine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cocaïne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sera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critiquée notamment par Antonin Artaud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cibles et mécanismes d’action des médicaments, laquelle (lesquelles)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 benzodiazépines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actives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uniquement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présence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GABA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cyclo-oxygénases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permettent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produire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prostaglandines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auront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inflam-</w:t>
      </w:r>
      <w:r>
        <w:rPr>
          <w:spacing w:val="-2"/>
          <w:w w:val="105"/>
          <w:sz w:val="24"/>
        </w:rPr>
        <w:t>matoire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DPP-4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enzyme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l’inhibition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concentrations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GLP-</w:t>
      </w:r>
      <w:r>
        <w:rPr>
          <w:spacing w:val="-10"/>
          <w:w w:val="105"/>
          <w:sz w:val="24"/>
        </w:rPr>
        <w:t>1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noradrénaline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action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antihypertensive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fluoxétine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inhibiteur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sélectif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recapture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dopamine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8"/>
          <w:footerReference w:type="default" r:id="rId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cibles et mécanismes d’action des médicaments, laquelle (lesquelles)</w:t>
      </w:r>
      <w:r>
        <w:rPr>
          <w:spacing w:val="80"/>
        </w:rPr>
        <w:t> </w:t>
      </w:r>
      <w:r>
        <w:rPr>
          <w:spacing w:val="-2"/>
        </w:rPr>
        <w:t>des</w:t>
      </w:r>
      <w:r>
        <w:rPr>
          <w:spacing w:val="-4"/>
        </w:rPr>
        <w:t> </w:t>
      </w:r>
      <w:r>
        <w:rPr>
          <w:spacing w:val="-2"/>
        </w:rPr>
        <w:t>propositions</w:t>
      </w:r>
      <w:r>
        <w:rPr>
          <w:spacing w:val="-3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(sont)</w:t>
      </w:r>
      <w:r>
        <w:rPr>
          <w:spacing w:val="-3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salbutamol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antagoniste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permettant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dilatation</w:t>
      </w:r>
      <w:r>
        <w:rPr>
          <w:spacing w:val="29"/>
          <w:w w:val="105"/>
          <w:sz w:val="24"/>
        </w:rPr>
        <w:t> </w:t>
      </w:r>
      <w:r>
        <w:rPr>
          <w:spacing w:val="-2"/>
          <w:w w:val="105"/>
          <w:sz w:val="24"/>
        </w:rPr>
        <w:t>bronchique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17"/>
          <w:sz w:val="24"/>
        </w:rPr>
        <w:t> </w:t>
      </w:r>
      <w:r>
        <w:rPr>
          <w:sz w:val="24"/>
        </w:rPr>
        <w:t>fixation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7"/>
          <w:sz w:val="24"/>
        </w:rPr>
        <w:t> </w:t>
      </w:r>
      <w:r>
        <w:rPr>
          <w:sz w:val="24"/>
        </w:rPr>
        <w:t>GABA</w:t>
      </w:r>
      <w:r>
        <w:rPr>
          <w:spacing w:val="17"/>
          <w:sz w:val="24"/>
        </w:rPr>
        <w:t> </w:t>
      </w:r>
      <w:r>
        <w:rPr>
          <w:sz w:val="24"/>
        </w:rPr>
        <w:t>sur</w:t>
      </w:r>
      <w:r>
        <w:rPr>
          <w:spacing w:val="17"/>
          <w:sz w:val="24"/>
        </w:rPr>
        <w:t> </w:t>
      </w:r>
      <w:r>
        <w:rPr>
          <w:sz w:val="24"/>
        </w:rPr>
        <w:t>son</w:t>
      </w:r>
      <w:r>
        <w:rPr>
          <w:spacing w:val="17"/>
          <w:sz w:val="24"/>
        </w:rPr>
        <w:t> </w:t>
      </w:r>
      <w:r>
        <w:rPr>
          <w:sz w:val="24"/>
        </w:rPr>
        <w:t>récepteur</w:t>
      </w:r>
      <w:r>
        <w:rPr>
          <w:spacing w:val="17"/>
          <w:sz w:val="24"/>
        </w:rPr>
        <w:t> </w:t>
      </w:r>
      <w:r>
        <w:rPr>
          <w:sz w:val="24"/>
        </w:rPr>
        <w:t>GABA-B</w:t>
      </w:r>
      <w:r>
        <w:rPr>
          <w:spacing w:val="17"/>
          <w:sz w:val="24"/>
        </w:rPr>
        <w:t> </w:t>
      </w:r>
      <w:r>
        <w:rPr>
          <w:sz w:val="24"/>
        </w:rPr>
        <w:t>permet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7"/>
          <w:sz w:val="24"/>
        </w:rPr>
        <w:t> </w:t>
      </w:r>
      <w:r>
        <w:rPr>
          <w:sz w:val="24"/>
        </w:rPr>
        <w:t>diminuer</w:t>
      </w:r>
      <w:r>
        <w:rPr>
          <w:spacing w:val="17"/>
          <w:sz w:val="24"/>
        </w:rPr>
        <w:t> </w:t>
      </w:r>
      <w:r>
        <w:rPr>
          <w:sz w:val="24"/>
        </w:rPr>
        <w:t>l’excitabilité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neuronale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neuromédiateur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agir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RCPG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canal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nucléaires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situés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intracellulaire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spécifique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liaison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ligand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récepteur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spécifique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conception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médicament,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pH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l’estomac</w:t>
      </w:r>
      <w:r>
        <w:rPr>
          <w:spacing w:val="28"/>
          <w:sz w:val="24"/>
        </w:rPr>
        <w:t> </w:t>
      </w:r>
      <w:r>
        <w:rPr>
          <w:sz w:val="24"/>
        </w:rPr>
        <w:t>privilégie</w:t>
      </w:r>
      <w:r>
        <w:rPr>
          <w:spacing w:val="28"/>
          <w:sz w:val="24"/>
        </w:rPr>
        <w:t> </w:t>
      </w:r>
      <w:r>
        <w:rPr>
          <w:sz w:val="24"/>
        </w:rPr>
        <w:t>la</w:t>
      </w:r>
      <w:r>
        <w:rPr>
          <w:spacing w:val="28"/>
          <w:sz w:val="24"/>
        </w:rPr>
        <w:t> </w:t>
      </w:r>
      <w:r>
        <w:rPr>
          <w:sz w:val="24"/>
        </w:rPr>
        <w:t>formation</w:t>
      </w:r>
      <w:r>
        <w:rPr>
          <w:spacing w:val="28"/>
          <w:sz w:val="24"/>
        </w:rPr>
        <w:t> </w:t>
      </w:r>
      <w:r>
        <w:rPr>
          <w:sz w:val="24"/>
        </w:rPr>
        <w:t>des</w:t>
      </w:r>
      <w:r>
        <w:rPr>
          <w:spacing w:val="28"/>
          <w:sz w:val="24"/>
        </w:rPr>
        <w:t> </w:t>
      </w:r>
      <w:r>
        <w:rPr>
          <w:sz w:val="24"/>
        </w:rPr>
        <w:t>formes</w:t>
      </w:r>
      <w:r>
        <w:rPr>
          <w:spacing w:val="27"/>
          <w:sz w:val="24"/>
        </w:rPr>
        <w:t> </w:t>
      </w:r>
      <w:r>
        <w:rPr>
          <w:sz w:val="24"/>
        </w:rPr>
        <w:t>non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ionisées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L’acétylation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COX1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favoriser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survenue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d’hémorragies</w:t>
      </w:r>
    </w:p>
    <w:p>
      <w:pPr>
        <w:pStyle w:val="ListParagraph"/>
        <w:numPr>
          <w:ilvl w:val="0"/>
          <w:numId w:val="6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L’acétylation de la COX1 entraîne une inhibition de la synthèse des prostaglandines proin-</w:t>
      </w:r>
      <w:r>
        <w:rPr>
          <w:spacing w:val="-2"/>
          <w:w w:val="105"/>
          <w:sz w:val="24"/>
        </w:rPr>
        <w:t>flammatoires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site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actif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COX2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dépourvu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l’isoleucine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Les</w:t>
      </w:r>
      <w:r>
        <w:rPr>
          <w:spacing w:val="19"/>
          <w:sz w:val="24"/>
        </w:rPr>
        <w:t> </w:t>
      </w:r>
      <w:r>
        <w:rPr>
          <w:sz w:val="24"/>
        </w:rPr>
        <w:t>coxibs</w:t>
      </w:r>
      <w:r>
        <w:rPr>
          <w:spacing w:val="20"/>
          <w:sz w:val="24"/>
        </w:rPr>
        <w:t> </w:t>
      </w:r>
      <w:r>
        <w:rPr>
          <w:sz w:val="24"/>
        </w:rPr>
        <w:t>sont</w:t>
      </w:r>
      <w:r>
        <w:rPr>
          <w:spacing w:val="20"/>
          <w:sz w:val="24"/>
        </w:rPr>
        <w:t> </w:t>
      </w:r>
      <w:r>
        <w:rPr>
          <w:sz w:val="24"/>
        </w:rPr>
        <w:t>sélectifs</w:t>
      </w:r>
      <w:r>
        <w:rPr>
          <w:spacing w:val="20"/>
          <w:sz w:val="24"/>
        </w:rPr>
        <w:t> </w:t>
      </w:r>
      <w:r>
        <w:rPr>
          <w:sz w:val="24"/>
        </w:rPr>
        <w:t>des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COX2</w:t>
      </w:r>
    </w:p>
    <w:p>
      <w:pPr>
        <w:pStyle w:val="BodyText"/>
        <w:ind w:left="0"/>
      </w:pPr>
    </w:p>
    <w:p>
      <w:pPr>
        <w:pStyle w:val="BodyText"/>
        <w:spacing w:before="209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conception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médicament,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d’induction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CYP450,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standard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paracétamol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devenir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hépato-</w:t>
      </w:r>
      <w:r>
        <w:rPr>
          <w:spacing w:val="-2"/>
          <w:w w:val="105"/>
          <w:sz w:val="24"/>
        </w:rPr>
        <w:t>toxique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FAAH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indispensable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antalgique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paracétamol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paracétamol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directement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récepteurs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cannabinoïdes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CB1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sz w:val="24"/>
        </w:rPr>
        <w:t>Une lésion des voies sérotoninergiques descendantes supprime l’effet nociceptif des </w:t>
      </w:r>
      <w:r>
        <w:rPr>
          <w:sz w:val="24"/>
        </w:rPr>
        <w:t>agonistes</w:t>
      </w:r>
      <w:r>
        <w:rPr>
          <w:spacing w:val="40"/>
          <w:sz w:val="24"/>
        </w:rPr>
        <w:t> </w:t>
      </w:r>
      <w:r>
        <w:rPr>
          <w:sz w:val="24"/>
        </w:rPr>
        <w:t>des récepteurs CB1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cycles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essentiels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l’action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analgésique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morphine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before="6"/>
        <w:ind w:left="141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5"/>
          <w:sz w:val="24"/>
        </w:rPr>
        <w:t> </w:t>
      </w:r>
      <w:r>
        <w:rPr>
          <w:rFonts w:ascii="Georgia" w:hAnsi="Georgia"/>
          <w:b/>
          <w:w w:val="90"/>
          <w:sz w:val="24"/>
        </w:rPr>
        <w:t>l’insuline,</w:t>
      </w:r>
      <w:r>
        <w:rPr>
          <w:rFonts w:ascii="Georgia" w:hAnsi="Georgia"/>
          <w:b/>
          <w:spacing w:val="46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5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6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6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5"/>
          <w:sz w:val="24"/>
        </w:rPr>
        <w:t> </w:t>
      </w:r>
      <w:r>
        <w:rPr>
          <w:rFonts w:ascii="Georgia" w:hAnsi="Georgia"/>
          <w:b/>
          <w:w w:val="90"/>
          <w:sz w:val="24"/>
        </w:rPr>
        <w:t>est</w:t>
      </w:r>
      <w:r>
        <w:rPr>
          <w:rFonts w:ascii="Georgia" w:hAnsi="Georgia"/>
          <w:b/>
          <w:spacing w:val="46"/>
          <w:sz w:val="24"/>
        </w:rPr>
        <w:t> </w:t>
      </w:r>
      <w:r>
        <w:rPr>
          <w:rFonts w:ascii="Georgia" w:hAnsi="Georgia"/>
          <w:b/>
          <w:w w:val="90"/>
          <w:sz w:val="24"/>
        </w:rPr>
        <w:t>(sont)</w:t>
      </w:r>
      <w:r>
        <w:rPr>
          <w:rFonts w:ascii="Georgia" w:hAnsi="Georgia"/>
          <w:b/>
          <w:spacing w:val="46"/>
          <w:sz w:val="24"/>
        </w:rPr>
        <w:t> </w:t>
      </w:r>
      <w:r>
        <w:rPr>
          <w:rFonts w:ascii="Georgia" w:hAnsi="Georgia"/>
          <w:b/>
          <w:w w:val="90"/>
          <w:sz w:val="24"/>
        </w:rPr>
        <w:t>exacte(s)</w:t>
      </w:r>
      <w:r>
        <w:rPr>
          <w:rFonts w:ascii="Georgia" w:hAnsi="Georgia"/>
          <w:b/>
          <w:spacing w:val="-3"/>
          <w:w w:val="90"/>
          <w:sz w:val="24"/>
        </w:rPr>
        <w:t> </w:t>
      </w:r>
      <w:r>
        <w:rPr>
          <w:rFonts w:ascii="Georgia" w:hAns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L’insuline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hormone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hypoglycémiante,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stockage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hépatique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glucose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sensibilité de l’insuline à la chaleur et au froid rend l’administration parentérale impos-</w:t>
      </w:r>
      <w:r>
        <w:rPr>
          <w:spacing w:val="-2"/>
          <w:w w:val="105"/>
          <w:sz w:val="24"/>
        </w:rPr>
        <w:t>sible</w:t>
      </w:r>
    </w:p>
    <w:p>
      <w:pPr>
        <w:pStyle w:val="ListParagraph"/>
        <w:numPr>
          <w:ilvl w:val="0"/>
          <w:numId w:val="8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Aujourd’hui, l’insuline destinée au traitement du diabète est uniquement produite par génie </w:t>
      </w:r>
      <w:r>
        <w:rPr>
          <w:spacing w:val="-2"/>
          <w:w w:val="105"/>
          <w:sz w:val="24"/>
        </w:rPr>
        <w:t>génétique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insulines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action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rapide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miment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production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physiologique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basale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d’insuline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L’association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protamine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solubilité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physiologique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0"/>
          <w:footerReference w:type="default" r:id="rId1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32"/>
        </w:rPr>
        <w:t> </w:t>
      </w:r>
      <w:r>
        <w:rPr>
          <w:spacing w:val="-6"/>
        </w:rPr>
        <w:t>les</w:t>
      </w:r>
      <w:r>
        <w:rPr>
          <w:spacing w:val="32"/>
        </w:rPr>
        <w:t> </w:t>
      </w:r>
      <w:r>
        <w:rPr>
          <w:spacing w:val="-6"/>
        </w:rPr>
        <w:t>antidiabétiques</w:t>
      </w:r>
      <w:r>
        <w:rPr>
          <w:spacing w:val="32"/>
        </w:rPr>
        <w:t> </w:t>
      </w:r>
      <w:r>
        <w:rPr>
          <w:spacing w:val="-6"/>
        </w:rPr>
        <w:t>oraux,</w:t>
      </w:r>
      <w:r>
        <w:rPr>
          <w:spacing w:val="32"/>
        </w:rPr>
        <w:t> </w:t>
      </w:r>
      <w:r>
        <w:rPr>
          <w:spacing w:val="-6"/>
        </w:rPr>
        <w:t>laquelle</w:t>
      </w:r>
      <w:r>
        <w:rPr>
          <w:spacing w:val="32"/>
        </w:rPr>
        <w:t> </w:t>
      </w:r>
      <w:r>
        <w:rPr>
          <w:spacing w:val="-6"/>
        </w:rPr>
        <w:t>(lesquelles)</w:t>
      </w:r>
      <w:r>
        <w:rPr>
          <w:spacing w:val="32"/>
        </w:rPr>
        <w:t> </w:t>
      </w:r>
      <w:r>
        <w:rPr>
          <w:spacing w:val="-6"/>
        </w:rPr>
        <w:t>des</w:t>
      </w:r>
      <w:r>
        <w:rPr>
          <w:spacing w:val="32"/>
        </w:rPr>
        <w:t> </w:t>
      </w:r>
      <w:r>
        <w:rPr>
          <w:spacing w:val="-6"/>
        </w:rPr>
        <w:t>propositions</w:t>
      </w:r>
      <w:r>
        <w:rPr>
          <w:spacing w:val="32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glinides exercent leurs effets hypoglycémiants en diminuant la réabsorption du glucose au niveau rénal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metformine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biguanide,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intention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diabète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0"/>
          <w:w w:val="105"/>
          <w:sz w:val="24"/>
        </w:rPr>
        <w:t> </w:t>
      </w:r>
      <w:r>
        <w:rPr>
          <w:spacing w:val="-10"/>
          <w:w w:val="105"/>
          <w:sz w:val="24"/>
        </w:rPr>
        <w:t>I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z w:val="24"/>
        </w:rPr>
        <w:t>sulfamides</w:t>
      </w:r>
      <w:r>
        <w:rPr>
          <w:spacing w:val="28"/>
          <w:sz w:val="24"/>
        </w:rPr>
        <w:t> </w:t>
      </w:r>
      <w:r>
        <w:rPr>
          <w:sz w:val="24"/>
        </w:rPr>
        <w:t>ont</w:t>
      </w:r>
      <w:r>
        <w:rPr>
          <w:spacing w:val="29"/>
          <w:sz w:val="24"/>
        </w:rPr>
        <w:t> </w:t>
      </w: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même</w:t>
      </w:r>
      <w:r>
        <w:rPr>
          <w:spacing w:val="29"/>
          <w:sz w:val="24"/>
        </w:rPr>
        <w:t> </w:t>
      </w:r>
      <w:r>
        <w:rPr>
          <w:sz w:val="24"/>
        </w:rPr>
        <w:t>mécanisme</w:t>
      </w:r>
      <w:r>
        <w:rPr>
          <w:spacing w:val="28"/>
          <w:sz w:val="24"/>
        </w:rPr>
        <w:t> </w:t>
      </w:r>
      <w:r>
        <w:rPr>
          <w:sz w:val="24"/>
        </w:rPr>
        <w:t>d’action</w:t>
      </w:r>
      <w:r>
        <w:rPr>
          <w:spacing w:val="28"/>
          <w:sz w:val="24"/>
        </w:rPr>
        <w:t> </w:t>
      </w:r>
      <w:r>
        <w:rPr>
          <w:sz w:val="24"/>
        </w:rPr>
        <w:t>que</w:t>
      </w:r>
      <w:r>
        <w:rPr>
          <w:spacing w:val="29"/>
          <w:sz w:val="24"/>
        </w:rPr>
        <w:t> </w:t>
      </w:r>
      <w:r>
        <w:rPr>
          <w:sz w:val="24"/>
        </w:rPr>
        <w:t>les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gliflozines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mécanisme d’action des incrétinomimétiques consiste à inhiber la DPP-4 ou à mimer le </w:t>
      </w:r>
      <w:r>
        <w:rPr>
          <w:spacing w:val="-2"/>
          <w:w w:val="105"/>
          <w:sz w:val="24"/>
        </w:rPr>
        <w:t>GLP-1</w:t>
      </w:r>
    </w:p>
    <w:p>
      <w:pPr>
        <w:pStyle w:val="ListParagraph"/>
        <w:numPr>
          <w:ilvl w:val="0"/>
          <w:numId w:val="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peptide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naturel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exendine-4,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isolé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venin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monstre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Gila,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donné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lieu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inhibi-teurs de DPP-4</w:t>
      </w:r>
    </w:p>
    <w:p>
      <w:pPr>
        <w:pStyle w:val="BodyText"/>
        <w:ind w:left="0"/>
      </w:pPr>
    </w:p>
    <w:p>
      <w:pPr>
        <w:pStyle w:val="BodyText"/>
        <w:spacing w:before="20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production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du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médicament,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ces</w:t>
      </w:r>
      <w:r>
        <w:rPr>
          <w:rFonts w:ascii="Georgia" w:hAnsi="Georgia"/>
          <w:b/>
          <w:spacing w:val="38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 lixiviation est un procédé de dissolution simple consistant à faire passer un solvant porté à ébullition à travers des matières premières solides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stérilisation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l’élimination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micro-organismes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vivants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Bonnes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Pratiques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Fabrication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(BPF)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garanties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pharmaciens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 la stérilisation de produits thermosensibles, on peut utiliser une autoclave à 121°pen-dant 15 minutes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L’insuline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NPH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injectable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intraveineuse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(IV)</w:t>
      </w:r>
    </w:p>
    <w:p>
      <w:pPr>
        <w:pStyle w:val="BodyText"/>
        <w:ind w:left="0"/>
      </w:pPr>
    </w:p>
    <w:p>
      <w:pPr>
        <w:pStyle w:val="BodyText"/>
        <w:spacing w:before="264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formes galéniques, laquelle (lesquelles) de ces propositions est (sont)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phénylalanine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d’excipient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notoire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patchs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utilisés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cutanée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parentérale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nécessite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l’utilisation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d’instruments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stériles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contamination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inconvénients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parentérale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réactions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polymérisation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l’insuline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acide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2"/>
          <w:footerReference w:type="default" r:id="rId1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40"/>
        </w:rPr>
        <w:t> </w:t>
      </w:r>
      <w:r>
        <w:rPr>
          <w:spacing w:val="-6"/>
        </w:rPr>
        <w:t>la</w:t>
      </w:r>
      <w:r>
        <w:rPr>
          <w:spacing w:val="40"/>
        </w:rPr>
        <w:t> </w:t>
      </w:r>
      <w:r>
        <w:rPr>
          <w:spacing w:val="-6"/>
        </w:rPr>
        <w:t>pharmacocinétique,</w:t>
      </w:r>
      <w:r>
        <w:rPr>
          <w:spacing w:val="40"/>
        </w:rPr>
        <w:t> </w:t>
      </w:r>
      <w:r>
        <w:rPr>
          <w:spacing w:val="-6"/>
        </w:rPr>
        <w:t>laquelle</w:t>
      </w:r>
      <w:r>
        <w:rPr>
          <w:spacing w:val="40"/>
        </w:rPr>
        <w:t> </w:t>
      </w:r>
      <w:r>
        <w:rPr>
          <w:spacing w:val="-6"/>
        </w:rPr>
        <w:t>(lesquelles)</w:t>
      </w:r>
      <w:r>
        <w:rPr>
          <w:spacing w:val="40"/>
        </w:rPr>
        <w:t> </w:t>
      </w:r>
      <w:r>
        <w:rPr>
          <w:spacing w:val="-6"/>
        </w:rPr>
        <w:t>de</w:t>
      </w:r>
      <w:r>
        <w:rPr>
          <w:spacing w:val="40"/>
        </w:rPr>
        <w:t> </w:t>
      </w:r>
      <w:r>
        <w:rPr>
          <w:spacing w:val="-6"/>
        </w:rPr>
        <w:t>ces</w:t>
      </w:r>
      <w:r>
        <w:rPr>
          <w:spacing w:val="40"/>
        </w:rPr>
        <w:t> </w:t>
      </w:r>
      <w:r>
        <w:rPr>
          <w:spacing w:val="-6"/>
        </w:rPr>
        <w:t>propositions</w:t>
      </w:r>
      <w:r>
        <w:rPr>
          <w:spacing w:val="40"/>
        </w:rPr>
        <w:t> </w:t>
      </w:r>
      <w:r>
        <w:rPr>
          <w:spacing w:val="-6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exactes</w:t>
      </w:r>
      <w:r>
        <w:rPr>
          <w:spacing w:val="-3"/>
        </w:rPr>
        <w:t> </w:t>
      </w:r>
      <w:r>
        <w:rPr/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filtration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glomérulaire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phénomène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actif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Les</w:t>
      </w:r>
      <w:r>
        <w:rPr>
          <w:spacing w:val="29"/>
          <w:sz w:val="24"/>
        </w:rPr>
        <w:t> </w:t>
      </w:r>
      <w:r>
        <w:rPr>
          <w:sz w:val="24"/>
        </w:rPr>
        <w:t>mono-amines</w:t>
      </w:r>
      <w:r>
        <w:rPr>
          <w:spacing w:val="30"/>
          <w:sz w:val="24"/>
        </w:rPr>
        <w:t> </w:t>
      </w:r>
      <w:r>
        <w:rPr>
          <w:sz w:val="24"/>
        </w:rPr>
        <w:t>oxygénases</w:t>
      </w:r>
      <w:r>
        <w:rPr>
          <w:spacing w:val="30"/>
          <w:sz w:val="24"/>
        </w:rPr>
        <w:t> </w:t>
      </w:r>
      <w:r>
        <w:rPr>
          <w:sz w:val="24"/>
        </w:rPr>
        <w:t>sont</w:t>
      </w:r>
      <w:r>
        <w:rPr>
          <w:spacing w:val="29"/>
          <w:sz w:val="24"/>
        </w:rPr>
        <w:t> </w:t>
      </w:r>
      <w:r>
        <w:rPr>
          <w:sz w:val="24"/>
        </w:rPr>
        <w:t>un</w:t>
      </w:r>
      <w:r>
        <w:rPr>
          <w:spacing w:val="30"/>
          <w:sz w:val="24"/>
        </w:rPr>
        <w:t> </w:t>
      </w:r>
      <w:r>
        <w:rPr>
          <w:sz w:val="24"/>
        </w:rPr>
        <w:t>exemple</w:t>
      </w:r>
      <w:r>
        <w:rPr>
          <w:spacing w:val="30"/>
          <w:sz w:val="24"/>
        </w:rPr>
        <w:t> </w:t>
      </w:r>
      <w:r>
        <w:rPr>
          <w:sz w:val="24"/>
        </w:rPr>
        <w:t>d’enzyme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type</w:t>
      </w:r>
      <w:r>
        <w:rPr>
          <w:spacing w:val="30"/>
          <w:sz w:val="24"/>
        </w:rPr>
        <w:t> </w:t>
      </w:r>
      <w:r>
        <w:rPr>
          <w:spacing w:val="-10"/>
          <w:sz w:val="24"/>
        </w:rPr>
        <w:t>I</w:t>
      </w:r>
    </w:p>
    <w:p>
      <w:pPr>
        <w:pStyle w:val="ListParagraph"/>
        <w:numPr>
          <w:ilvl w:val="0"/>
          <w:numId w:val="12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sécrétion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tubulaire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plasma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l’urine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tubulaire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mécanisme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saturable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un phénomène actif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active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(SA)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exister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liée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leucocytes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pharmacodynamie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décrit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l’organisme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spacing w:val="-5"/>
          <w:w w:val="105"/>
          <w:sz w:val="24"/>
        </w:rPr>
        <w:t>SA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pharmacocinétique,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paramètres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pharmacocinétiques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secondaires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calculés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paramètres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pri-maires, ces derniers englobent : la hauteur, l’aire sous la courbe et la pente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5t(½)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processus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pharmacocinétique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soit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complet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demi-vie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d’élimination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morphine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l’ordre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heures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orale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d’administration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utilisée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voie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intra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veineuse</w:t>
      </w:r>
    </w:p>
    <w:p>
      <w:pPr>
        <w:pStyle w:val="ListParagraph"/>
        <w:numPr>
          <w:ilvl w:val="0"/>
          <w:numId w:val="13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variations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importantes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tractus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digestif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allant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acide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 8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l’estomac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pH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plutôt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basique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1,5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partir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jéjunum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pharmacocinétique,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(ou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0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Quand un médicament est administré par doses répétées, si l’intervalle de temps entre les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prises est inférieur à 6</w:t>
      </w:r>
      <w:r>
        <w:rPr>
          <w:rFonts w:ascii="Cambria" w:hAnsi="Cambria"/>
          <w:i/>
          <w:w w:val="105"/>
          <w:sz w:val="24"/>
        </w:rPr>
        <w:t>t</w:t>
      </w:r>
      <w:r>
        <w:rPr>
          <w:rFonts w:ascii="Trebuchet MS" w:hAnsi="Trebuchet MS"/>
          <w:w w:val="105"/>
          <w:sz w:val="24"/>
          <w:vertAlign w:val="subscript"/>
        </w:rPr>
        <w:t>1</w:t>
      </w:r>
      <w:r>
        <w:rPr>
          <w:rFonts w:ascii="Trebuchet MS" w:hAnsi="Trebuchet MS"/>
          <w:i/>
          <w:w w:val="105"/>
          <w:sz w:val="24"/>
          <w:vertAlign w:val="subscript"/>
        </w:rPr>
        <w:t>/</w:t>
      </w:r>
      <w:r>
        <w:rPr>
          <w:rFonts w:ascii="Trebuchet MS" w:hAnsi="Trebuchet MS"/>
          <w:w w:val="105"/>
          <w:sz w:val="24"/>
          <w:vertAlign w:val="subscript"/>
        </w:rPr>
        <w:t>2</w:t>
      </w:r>
      <w:r>
        <w:rPr>
          <w:rFonts w:ascii="Trebuchet MS" w:hAnsi="Trebuchet MS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il s’accumule jusqu’à un niveau d’équilibre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plupart du temps, les paramètres biologiques de pharmacocinétiques suivent une loi de distribution normale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sujet</w:t>
      </w:r>
      <w:r>
        <w:rPr>
          <w:spacing w:val="34"/>
          <w:sz w:val="24"/>
        </w:rPr>
        <w:t> </w:t>
      </w:r>
      <w:r>
        <w:rPr>
          <w:sz w:val="24"/>
        </w:rPr>
        <w:t>âgé</w:t>
      </w:r>
      <w:r>
        <w:rPr>
          <w:spacing w:val="34"/>
          <w:sz w:val="24"/>
        </w:rPr>
        <w:t> </w:t>
      </w:r>
      <w:r>
        <w:rPr>
          <w:sz w:val="24"/>
        </w:rPr>
        <w:t>en</w:t>
      </w:r>
      <w:r>
        <w:rPr>
          <w:spacing w:val="35"/>
          <w:sz w:val="24"/>
        </w:rPr>
        <w:t> </w:t>
      </w:r>
      <w:r>
        <w:rPr>
          <w:sz w:val="24"/>
        </w:rPr>
        <w:t>bonne</w:t>
      </w:r>
      <w:r>
        <w:rPr>
          <w:spacing w:val="34"/>
          <w:sz w:val="24"/>
        </w:rPr>
        <w:t> </w:t>
      </w:r>
      <w:r>
        <w:rPr>
          <w:sz w:val="24"/>
        </w:rPr>
        <w:t>santé</w:t>
      </w:r>
      <w:r>
        <w:rPr>
          <w:spacing w:val="34"/>
          <w:sz w:val="24"/>
        </w:rPr>
        <w:t> </w:t>
      </w:r>
      <w:r>
        <w:rPr>
          <w:sz w:val="24"/>
        </w:rPr>
        <w:t>est</w:t>
      </w:r>
      <w:r>
        <w:rPr>
          <w:spacing w:val="35"/>
          <w:sz w:val="24"/>
        </w:rPr>
        <w:t> </w:t>
      </w:r>
      <w:r>
        <w:rPr>
          <w:sz w:val="24"/>
        </w:rPr>
        <w:t>considéré</w:t>
      </w:r>
      <w:r>
        <w:rPr>
          <w:spacing w:val="34"/>
          <w:sz w:val="24"/>
        </w:rPr>
        <w:t> </w:t>
      </w:r>
      <w:r>
        <w:rPr>
          <w:sz w:val="24"/>
        </w:rPr>
        <w:t>comme</w:t>
      </w:r>
      <w:r>
        <w:rPr>
          <w:spacing w:val="34"/>
          <w:sz w:val="24"/>
        </w:rPr>
        <w:t> </w:t>
      </w:r>
      <w:r>
        <w:rPr>
          <w:sz w:val="24"/>
        </w:rPr>
        <w:t>étant</w:t>
      </w:r>
      <w:r>
        <w:rPr>
          <w:spacing w:val="35"/>
          <w:sz w:val="24"/>
        </w:rPr>
        <w:t> </w:t>
      </w:r>
      <w:r>
        <w:rPr>
          <w:sz w:val="24"/>
        </w:rPr>
        <w:t>en</w:t>
      </w:r>
      <w:r>
        <w:rPr>
          <w:spacing w:val="34"/>
          <w:sz w:val="24"/>
        </w:rPr>
        <w:t> </w:t>
      </w:r>
      <w:r>
        <w:rPr>
          <w:sz w:val="24"/>
        </w:rPr>
        <w:t>insuffisance</w:t>
      </w:r>
      <w:r>
        <w:rPr>
          <w:spacing w:val="34"/>
          <w:sz w:val="24"/>
        </w:rPr>
        <w:t> </w:t>
      </w:r>
      <w:r>
        <w:rPr>
          <w:sz w:val="24"/>
        </w:rPr>
        <w:t>rénale</w:t>
      </w:r>
      <w:r>
        <w:rPr>
          <w:spacing w:val="34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hépatique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 un même traitement, les personnes âgées reçoivent souvent une dose plus faible qu’un sujet plus jeune</w:t>
      </w:r>
    </w:p>
    <w:p>
      <w:pPr>
        <w:pStyle w:val="ListParagraph"/>
        <w:numPr>
          <w:ilvl w:val="0"/>
          <w:numId w:val="14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“grey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baby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syndrome”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lié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l’administration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trop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élevées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chloramphénicol chez le nouveau né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14"/>
          <w:footerReference w:type="default" r:id="rId1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4"/>
        </w:rPr>
        <w:t> </w:t>
      </w:r>
      <w:r>
        <w:rPr>
          <w:spacing w:val="-6"/>
        </w:rPr>
        <w:t>la</w:t>
      </w:r>
      <w:r>
        <w:rPr>
          <w:spacing w:val="25"/>
        </w:rPr>
        <w:t> </w:t>
      </w:r>
      <w:r>
        <w:rPr>
          <w:spacing w:val="-6"/>
        </w:rPr>
        <w:t>pharmacocinétique,</w:t>
      </w:r>
      <w:r>
        <w:rPr>
          <w:spacing w:val="25"/>
        </w:rPr>
        <w:t> </w:t>
      </w:r>
      <w:r>
        <w:rPr>
          <w:spacing w:val="-6"/>
        </w:rPr>
        <w:t>laquelle</w:t>
      </w:r>
      <w:r>
        <w:rPr>
          <w:spacing w:val="25"/>
        </w:rPr>
        <w:t> </w:t>
      </w:r>
      <w:r>
        <w:rPr>
          <w:spacing w:val="-6"/>
        </w:rPr>
        <w:t>(ou</w:t>
      </w:r>
      <w:r>
        <w:rPr>
          <w:spacing w:val="25"/>
        </w:rPr>
        <w:t> </w:t>
      </w:r>
      <w:r>
        <w:rPr>
          <w:spacing w:val="-6"/>
        </w:rPr>
        <w:t>lesquelles)</w:t>
      </w:r>
      <w:r>
        <w:rPr>
          <w:spacing w:val="24"/>
        </w:rPr>
        <w:t> </w:t>
      </w:r>
      <w:r>
        <w:rPr>
          <w:spacing w:val="-6"/>
        </w:rPr>
        <w:t>des</w:t>
      </w:r>
      <w:r>
        <w:rPr>
          <w:spacing w:val="25"/>
        </w:rPr>
        <w:t> </w:t>
      </w:r>
      <w:r>
        <w:rPr>
          <w:spacing w:val="-6"/>
        </w:rPr>
        <w:t>propositions</w:t>
      </w:r>
      <w:r>
        <w:rPr>
          <w:spacing w:val="25"/>
        </w:rPr>
        <w:t> </w:t>
      </w:r>
      <w:r>
        <w:rPr>
          <w:spacing w:val="-6"/>
        </w:rPr>
        <w:t>sui-</w:t>
      </w:r>
      <w:r>
        <w:rPr/>
        <w:t>vantes</w:t>
      </w:r>
      <w:r>
        <w:rPr>
          <w:spacing w:val="6"/>
        </w:rPr>
        <w:t> </w:t>
      </w:r>
      <w:r>
        <w:rPr/>
        <w:t>est</w:t>
      </w:r>
      <w:r>
        <w:rPr>
          <w:spacing w:val="13"/>
        </w:rPr>
        <w:t> </w:t>
      </w:r>
      <w:r>
        <w:rPr/>
        <w:t>(sont)</w:t>
      </w:r>
      <w:r>
        <w:rPr>
          <w:spacing w:val="13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faut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diminuer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sujet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insuffisance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hépatique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L’érythromycine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conséquence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diminuer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rapidement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métabolisme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autres substances actives par inhibition enzymatique après son administration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L’alcool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entraîne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diminution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l’effet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thérapeutique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prodrogues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sujets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métaboliseurs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rapides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présentent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accru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surdosage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Il existe d’importantes variations ethniques dans la fréquence des différents types de méta-boliseurs de la rifampicine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 développement du médicament, laquelle (lesquelles) des propositions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obtenir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médicament,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000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molécules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identifiées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testées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létale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50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(DL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50)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correspond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tuant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50%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animaux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48h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l’injection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détermination</w:t>
      </w:r>
      <w:r>
        <w:rPr>
          <w:w w:val="105"/>
          <w:sz w:val="24"/>
        </w:rPr>
        <w:t> du</w:t>
      </w:r>
      <w:r>
        <w:rPr>
          <w:w w:val="105"/>
          <w:sz w:val="24"/>
        </w:rPr>
        <w:t> Non</w:t>
      </w:r>
      <w:r>
        <w:rPr>
          <w:w w:val="105"/>
          <w:sz w:val="24"/>
        </w:rPr>
        <w:t> Observed</w:t>
      </w:r>
      <w:r>
        <w:rPr>
          <w:w w:val="105"/>
          <w:sz w:val="24"/>
        </w:rPr>
        <w:t> Adverse</w:t>
      </w:r>
      <w:r>
        <w:rPr>
          <w:w w:val="105"/>
          <w:sz w:val="24"/>
        </w:rPr>
        <w:t> Effect</w:t>
      </w:r>
      <w:r>
        <w:rPr>
          <w:w w:val="105"/>
          <w:sz w:val="24"/>
        </w:rPr>
        <w:t> Level</w:t>
      </w:r>
      <w:r>
        <w:rPr>
          <w:w w:val="105"/>
          <w:sz w:val="24"/>
        </w:rPr>
        <w:t> (NOAEL)</w:t>
      </w:r>
      <w:r>
        <w:rPr>
          <w:w w:val="105"/>
          <w:sz w:val="24"/>
        </w:rPr>
        <w:t> impose</w:t>
      </w:r>
      <w:r>
        <w:rPr>
          <w:w w:val="105"/>
          <w:sz w:val="24"/>
        </w:rPr>
        <w:t> une</w:t>
      </w:r>
      <w:r>
        <w:rPr>
          <w:w w:val="105"/>
          <w:sz w:val="24"/>
        </w:rPr>
        <w:t> durée</w:t>
      </w:r>
      <w:r>
        <w:rPr>
          <w:w w:val="105"/>
          <w:sz w:val="24"/>
        </w:rPr>
        <w:t> 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suivi du traitement d’au moins 3 ans sur un modèle animal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caractérisation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profil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toxicologique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l’étude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repro-toxicité et de la cancérogénèse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L’établissement des propriétés pharmacodynamiques d’un médicament nécessite de </w:t>
      </w:r>
      <w:r>
        <w:rPr>
          <w:w w:val="105"/>
          <w:sz w:val="24"/>
        </w:rPr>
        <w:t>l’expé-rimenter sur au moins 3 espèces animales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les études de reprotoxicité, de mutagenèse et de cancérogenèse,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études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tératogenèse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comportent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types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d’études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 mutations des cellules somatiques présentent un risque héréditaire pour la descendance tandis que celle des cellules germinales présentent un risque cancérogène pour l’individu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sz w:val="24"/>
        </w:rPr>
        <w:t>Pour</w:t>
      </w:r>
      <w:r>
        <w:rPr>
          <w:spacing w:val="36"/>
          <w:sz w:val="24"/>
        </w:rPr>
        <w:t> </w:t>
      </w:r>
      <w:r>
        <w:rPr>
          <w:sz w:val="24"/>
        </w:rPr>
        <w:t>les</w:t>
      </w:r>
      <w:r>
        <w:rPr>
          <w:spacing w:val="36"/>
          <w:sz w:val="24"/>
        </w:rPr>
        <w:t> </w:t>
      </w:r>
      <w:r>
        <w:rPr>
          <w:sz w:val="24"/>
        </w:rPr>
        <w:t>études</w:t>
      </w:r>
      <w:r>
        <w:rPr>
          <w:spacing w:val="36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cancérogenèse,</w:t>
      </w:r>
      <w:r>
        <w:rPr>
          <w:spacing w:val="36"/>
          <w:sz w:val="24"/>
        </w:rPr>
        <w:t> </w:t>
      </w:r>
      <w:r>
        <w:rPr>
          <w:sz w:val="24"/>
        </w:rPr>
        <w:t>il</w:t>
      </w:r>
      <w:r>
        <w:rPr>
          <w:spacing w:val="37"/>
          <w:sz w:val="24"/>
        </w:rPr>
        <w:t> </w:t>
      </w:r>
      <w:r>
        <w:rPr>
          <w:sz w:val="24"/>
        </w:rPr>
        <w:t>faut</w:t>
      </w:r>
      <w:r>
        <w:rPr>
          <w:spacing w:val="36"/>
          <w:sz w:val="24"/>
        </w:rPr>
        <w:t> </w:t>
      </w:r>
      <w:r>
        <w:rPr>
          <w:sz w:val="24"/>
        </w:rPr>
        <w:t>au</w:t>
      </w:r>
      <w:r>
        <w:rPr>
          <w:spacing w:val="36"/>
          <w:sz w:val="24"/>
        </w:rPr>
        <w:t> </w:t>
      </w:r>
      <w:r>
        <w:rPr>
          <w:sz w:val="24"/>
        </w:rPr>
        <w:t>minimum</w:t>
      </w:r>
      <w:r>
        <w:rPr>
          <w:spacing w:val="36"/>
          <w:sz w:val="24"/>
        </w:rPr>
        <w:t> </w:t>
      </w:r>
      <w:r>
        <w:rPr>
          <w:sz w:val="24"/>
        </w:rPr>
        <w:t>50</w:t>
      </w:r>
      <w:r>
        <w:rPr>
          <w:spacing w:val="36"/>
          <w:sz w:val="24"/>
        </w:rPr>
        <w:t> </w:t>
      </w:r>
      <w:r>
        <w:rPr>
          <w:sz w:val="24"/>
        </w:rPr>
        <w:t>animaux</w:t>
      </w:r>
      <w:r>
        <w:rPr>
          <w:spacing w:val="36"/>
          <w:sz w:val="24"/>
        </w:rPr>
        <w:t> </w:t>
      </w:r>
      <w:r>
        <w:rPr>
          <w:sz w:val="24"/>
        </w:rPr>
        <w:t>par</w:t>
      </w:r>
      <w:r>
        <w:rPr>
          <w:spacing w:val="37"/>
          <w:sz w:val="24"/>
        </w:rPr>
        <w:t> </w:t>
      </w:r>
      <w:r>
        <w:rPr>
          <w:sz w:val="24"/>
        </w:rPr>
        <w:t>sexe</w:t>
      </w:r>
      <w:r>
        <w:rPr>
          <w:spacing w:val="36"/>
          <w:sz w:val="24"/>
        </w:rPr>
        <w:t> </w:t>
      </w:r>
      <w:r>
        <w:rPr>
          <w:sz w:val="24"/>
        </w:rPr>
        <w:t>et</w:t>
      </w:r>
      <w:r>
        <w:rPr>
          <w:spacing w:val="36"/>
          <w:sz w:val="24"/>
        </w:rPr>
        <w:t> </w:t>
      </w:r>
      <w:r>
        <w:rPr>
          <w:sz w:val="24"/>
        </w:rPr>
        <w:t>par</w:t>
      </w:r>
      <w:r>
        <w:rPr>
          <w:spacing w:val="36"/>
          <w:sz w:val="24"/>
        </w:rPr>
        <w:t> </w:t>
      </w:r>
      <w:r>
        <w:rPr>
          <w:spacing w:val="-4"/>
          <w:sz w:val="24"/>
        </w:rPr>
        <w:t>dose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dose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plus</w:t>
      </w:r>
      <w:r>
        <w:rPr>
          <w:spacing w:val="40"/>
          <w:sz w:val="24"/>
        </w:rPr>
        <w:t> </w:t>
      </w:r>
      <w:r>
        <w:rPr>
          <w:sz w:val="24"/>
        </w:rPr>
        <w:t>forte</w:t>
      </w:r>
      <w:r>
        <w:rPr>
          <w:spacing w:val="40"/>
          <w:sz w:val="24"/>
        </w:rPr>
        <w:t> </w:t>
      </w:r>
      <w:r>
        <w:rPr>
          <w:sz w:val="24"/>
        </w:rPr>
        <w:t>administrée</w:t>
      </w:r>
      <w:r>
        <w:rPr>
          <w:spacing w:val="40"/>
          <w:sz w:val="24"/>
        </w:rPr>
        <w:t> </w:t>
      </w:r>
      <w:r>
        <w:rPr>
          <w:sz w:val="24"/>
        </w:rPr>
        <w:t>pour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études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cancérogenèse</w:t>
      </w:r>
      <w:r>
        <w:rPr>
          <w:spacing w:val="40"/>
          <w:sz w:val="24"/>
        </w:rPr>
        <w:t> </w:t>
      </w:r>
      <w:r>
        <w:rPr>
          <w:sz w:val="24"/>
        </w:rPr>
        <w:t>est</w:t>
      </w:r>
      <w:r>
        <w:rPr>
          <w:spacing w:val="40"/>
          <w:sz w:val="24"/>
        </w:rPr>
        <w:t> </w:t>
      </w:r>
      <w:r>
        <w:rPr>
          <w:sz w:val="24"/>
        </w:rPr>
        <w:t>proche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dose</w:t>
      </w:r>
      <w:r>
        <w:rPr>
          <w:spacing w:val="40"/>
          <w:sz w:val="24"/>
        </w:rPr>
        <w:t> </w:t>
      </w:r>
      <w:r>
        <w:rPr>
          <w:sz w:val="24"/>
        </w:rPr>
        <w:t>maximale tolérée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thalidomide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exemple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conséquences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tératogènes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footerReference w:type="default" r:id="rId1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-4"/>
        </w:rPr>
        <w:t> </w:t>
      </w:r>
      <w:r>
        <w:rPr>
          <w:spacing w:val="-8"/>
        </w:rPr>
        <w:t>le</w:t>
      </w:r>
      <w:r>
        <w:rPr>
          <w:spacing w:val="-4"/>
        </w:rPr>
        <w:t> </w:t>
      </w:r>
      <w:r>
        <w:rPr>
          <w:spacing w:val="-8"/>
        </w:rPr>
        <w:t>développement</w:t>
      </w:r>
      <w:r>
        <w:rPr>
          <w:spacing w:val="-4"/>
        </w:rPr>
        <w:t> </w:t>
      </w:r>
      <w:r>
        <w:rPr>
          <w:spacing w:val="-8"/>
        </w:rPr>
        <w:t>du</w:t>
      </w:r>
      <w:r>
        <w:rPr>
          <w:spacing w:val="-4"/>
        </w:rPr>
        <w:t> </w:t>
      </w:r>
      <w:r>
        <w:rPr>
          <w:spacing w:val="-8"/>
        </w:rPr>
        <w:t>médicament,</w:t>
      </w:r>
      <w:r>
        <w:rPr>
          <w:spacing w:val="-4"/>
        </w:rPr>
        <w:t> </w:t>
      </w:r>
      <w:r>
        <w:rPr>
          <w:spacing w:val="-8"/>
        </w:rPr>
        <w:t>laquelle</w:t>
      </w:r>
      <w:r>
        <w:rPr>
          <w:spacing w:val="-4"/>
        </w:rPr>
        <w:t> </w:t>
      </w:r>
      <w:r>
        <w:rPr>
          <w:spacing w:val="-8"/>
        </w:rPr>
        <w:t>(lesquelles)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ces</w:t>
      </w:r>
      <w:r>
        <w:rPr>
          <w:spacing w:val="-4"/>
        </w:rPr>
        <w:t> </w:t>
      </w:r>
      <w:r>
        <w:rPr>
          <w:spacing w:val="-8"/>
        </w:rPr>
        <w:t>proposi-</w:t>
      </w:r>
      <w:r>
        <w:rPr/>
        <w:t>tions</w:t>
      </w:r>
      <w:r>
        <w:rPr>
          <w:spacing w:val="13"/>
        </w:rPr>
        <w:t> </w:t>
      </w:r>
      <w:r>
        <w:rPr/>
        <w:t>est</w:t>
      </w:r>
      <w:r>
        <w:rPr>
          <w:spacing w:val="18"/>
        </w:rPr>
        <w:t> </w:t>
      </w:r>
      <w:r>
        <w:rPr/>
        <w:t>(sont)</w:t>
      </w:r>
      <w:r>
        <w:rPr>
          <w:spacing w:val="18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obligatoire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d’obtenir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l’accord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l’ANSM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essai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thérapeutique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essais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cliniques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réalisée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patients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malades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études de non-infériorité permettent de comparer le traitement en développement avec un placebo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phase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IV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essais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cliniques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d’étendre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indications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plan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gestion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risques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permet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suivre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l’utilisation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réelle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médicament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l’autorisation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mise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marché,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proposi-</w:t>
      </w:r>
      <w:r>
        <w:rPr>
          <w:rFonts w:ascii="Georgia" w:hAnsi="Georgia"/>
          <w:b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l’Union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européenne,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l’AMM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demandée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Commission</w:t>
      </w:r>
      <w:r>
        <w:rPr>
          <w:spacing w:val="-2"/>
          <w:w w:val="105"/>
          <w:sz w:val="24"/>
        </w:rPr>
        <w:t> européenne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procédure européenne centralisée est obligatoire pour un médicament générique indiqué dans le traitement des maladies auto-immunes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procédure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décentralisée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pilotée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l’État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référent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qui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octroyé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l’AMM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existante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procédure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reconnaissance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mutuelle,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AMM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délivrées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autorités compétentes des États membres concernés</w:t>
      </w:r>
    </w:p>
    <w:p>
      <w:pPr>
        <w:pStyle w:val="ListParagraph"/>
        <w:numPr>
          <w:ilvl w:val="0"/>
          <w:numId w:val="19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Commission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spécifique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réévaluation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bénéfice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aboutir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 modification de la forme galénique du médicament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autorisations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mise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marché,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lequel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pro-</w:t>
      </w:r>
      <w:r>
        <w:rPr>
          <w:rFonts w:ascii="Georgia" w:hAnsi="Georgia"/>
          <w:b/>
          <w:sz w:val="24"/>
        </w:rPr>
        <w:t>positions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L’autorisation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d’accès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compassionnel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(AAC)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octroyée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Haute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Autorité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 </w:t>
      </w:r>
      <w:r>
        <w:rPr>
          <w:spacing w:val="-4"/>
          <w:w w:val="105"/>
          <w:sz w:val="24"/>
        </w:rPr>
        <w:t>santé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L’autorisation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d’accès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précoce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(AAP)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octroyée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l’ANSM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orphelins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traitements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indiqués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maladies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rares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générique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doit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notamment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avoir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pharmaceutique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le </w:t>
      </w:r>
      <w:r>
        <w:rPr>
          <w:spacing w:val="-2"/>
          <w:w w:val="105"/>
          <w:sz w:val="24"/>
        </w:rPr>
        <w:t>princeps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homéopathiques,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l’AMM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toujours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obligatoire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8"/>
          <w:footerReference w:type="default" r:id="rId1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les procédures spécifiques d’autorisation de mise sur le marché, laquelle </w:t>
      </w:r>
      <w:r>
        <w:rPr>
          <w:spacing w:val="-4"/>
        </w:rPr>
        <w:t>(lesquelles) des</w:t>
      </w:r>
      <w:r>
        <w:rPr>
          <w:spacing w:val="-3"/>
        </w:rPr>
        <w:t> </w:t>
      </w:r>
      <w:r>
        <w:rPr>
          <w:spacing w:val="-4"/>
        </w:rPr>
        <w:t>propositions</w:t>
      </w:r>
      <w:r>
        <w:rPr>
          <w:spacing w:val="-3"/>
        </w:rPr>
        <w:t> </w:t>
      </w:r>
      <w:r>
        <w:rPr>
          <w:spacing w:val="-4"/>
        </w:rPr>
        <w:t>suivantes</w:t>
      </w:r>
      <w:r>
        <w:rPr>
          <w:spacing w:val="-3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both"/>
        <w:rPr>
          <w:sz w:val="24"/>
        </w:rPr>
      </w:pPr>
      <w:r>
        <w:rPr>
          <w:sz w:val="24"/>
        </w:rPr>
        <w:t>Dans</w:t>
      </w:r>
      <w:r>
        <w:rPr>
          <w:spacing w:val="33"/>
          <w:sz w:val="24"/>
        </w:rPr>
        <w:t> </w:t>
      </w:r>
      <w:r>
        <w:rPr>
          <w:sz w:val="24"/>
        </w:rPr>
        <w:t>les</w:t>
      </w:r>
      <w:r>
        <w:rPr>
          <w:spacing w:val="33"/>
          <w:sz w:val="24"/>
        </w:rPr>
        <w:t> </w:t>
      </w:r>
      <w:r>
        <w:rPr>
          <w:sz w:val="24"/>
        </w:rPr>
        <w:t>procédures</w:t>
      </w:r>
      <w:r>
        <w:rPr>
          <w:spacing w:val="33"/>
          <w:sz w:val="24"/>
        </w:rPr>
        <w:t> </w:t>
      </w:r>
      <w:r>
        <w:rPr>
          <w:sz w:val="24"/>
        </w:rPr>
        <w:t>dérogatoires</w:t>
      </w:r>
      <w:r>
        <w:rPr>
          <w:spacing w:val="33"/>
          <w:sz w:val="24"/>
        </w:rPr>
        <w:t> </w:t>
      </w:r>
      <w:r>
        <w:rPr>
          <w:sz w:val="24"/>
        </w:rPr>
        <w:t>nous</w:t>
      </w:r>
      <w:r>
        <w:rPr>
          <w:spacing w:val="33"/>
          <w:sz w:val="24"/>
        </w:rPr>
        <w:t> </w:t>
      </w:r>
      <w:r>
        <w:rPr>
          <w:sz w:val="24"/>
        </w:rPr>
        <w:t>avons</w:t>
      </w:r>
      <w:r>
        <w:rPr>
          <w:spacing w:val="33"/>
          <w:sz w:val="24"/>
        </w:rPr>
        <w:t> </w:t>
      </w:r>
      <w:r>
        <w:rPr>
          <w:sz w:val="24"/>
        </w:rPr>
        <w:t>les</w:t>
      </w:r>
      <w:r>
        <w:rPr>
          <w:spacing w:val="33"/>
          <w:sz w:val="24"/>
        </w:rPr>
        <w:t> </w:t>
      </w:r>
      <w:r>
        <w:rPr>
          <w:sz w:val="24"/>
        </w:rPr>
        <w:t>accès</w:t>
      </w:r>
      <w:r>
        <w:rPr>
          <w:spacing w:val="33"/>
          <w:sz w:val="24"/>
        </w:rPr>
        <w:t> </w:t>
      </w:r>
      <w:r>
        <w:rPr>
          <w:sz w:val="24"/>
        </w:rPr>
        <w:t>précoces</w:t>
      </w:r>
      <w:r>
        <w:rPr>
          <w:spacing w:val="33"/>
          <w:sz w:val="24"/>
        </w:rPr>
        <w:t> </w:t>
      </w:r>
      <w:r>
        <w:rPr>
          <w:sz w:val="24"/>
        </w:rPr>
        <w:t>et</w:t>
      </w:r>
      <w:r>
        <w:rPr>
          <w:spacing w:val="33"/>
          <w:sz w:val="24"/>
        </w:rPr>
        <w:t> </w:t>
      </w:r>
      <w:r>
        <w:rPr>
          <w:sz w:val="24"/>
        </w:rPr>
        <w:t>compassionnels</w:t>
      </w:r>
      <w:r>
        <w:rPr>
          <w:spacing w:val="33"/>
          <w:sz w:val="24"/>
        </w:rPr>
        <w:t> </w:t>
      </w:r>
      <w:r>
        <w:rPr>
          <w:sz w:val="24"/>
        </w:rPr>
        <w:t>ainsi</w:t>
      </w:r>
      <w:r>
        <w:rPr>
          <w:spacing w:val="33"/>
          <w:sz w:val="24"/>
        </w:rPr>
        <w:t> </w:t>
      </w:r>
      <w:r>
        <w:rPr>
          <w:sz w:val="24"/>
        </w:rPr>
        <w:t>que les AMM aménagées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both"/>
        <w:rPr>
          <w:sz w:val="24"/>
        </w:rPr>
      </w:pPr>
      <w:r>
        <w:rPr>
          <w:w w:val="105"/>
          <w:sz w:val="24"/>
        </w:rPr>
        <w:t>Cette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autorisation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d’accès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compassionnelle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(AAC)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délivrée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l’ANSM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lorsqu’un laboratoire souhaite commercialiser un médicament</w:t>
      </w:r>
    </w:p>
    <w:p>
      <w:pPr>
        <w:pStyle w:val="ListParagraph"/>
        <w:numPr>
          <w:ilvl w:val="0"/>
          <w:numId w:val="21"/>
        </w:numPr>
        <w:tabs>
          <w:tab w:pos="500" w:val="left" w:leader="none"/>
        </w:tabs>
        <w:spacing w:line="242" w:lineRule="auto" w:before="83" w:after="0"/>
        <w:ind w:left="500" w:right="139" w:hanging="354"/>
        <w:jc w:val="both"/>
        <w:rPr>
          <w:sz w:val="24"/>
        </w:rPr>
      </w:pPr>
      <w:r>
        <w:rPr>
          <w:w w:val="105"/>
          <w:sz w:val="24"/>
        </w:rPr>
        <w:t>Depuis 2007 les industries doivent déposer un PIP (plan d’information pédiatrique) </w:t>
      </w:r>
      <w:r>
        <w:rPr>
          <w:w w:val="105"/>
          <w:sz w:val="24"/>
        </w:rPr>
        <w:t>auprès de la PDCO (comité pédiatrique de l’EMA)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  <w:tab w:pos="500" w:val="left" w:leader="none"/>
        </w:tabs>
        <w:spacing w:line="242" w:lineRule="auto" w:before="82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Pour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génériques,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bio-équivalents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bornes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[min, max]</w:t>
      </w:r>
      <w:r>
        <w:rPr>
          <w:w w:val="105"/>
          <w:sz w:val="24"/>
        </w:rPr>
        <w:t> du</w:t>
      </w:r>
      <w:r>
        <w:rPr>
          <w:w w:val="105"/>
          <w:sz w:val="24"/>
        </w:rPr>
        <w:t> ratio</w:t>
      </w:r>
      <w:r>
        <w:rPr>
          <w:w w:val="105"/>
          <w:sz w:val="24"/>
        </w:rPr>
        <w:t> générique</w:t>
      </w:r>
      <w:r>
        <w:rPr>
          <w:w w:val="105"/>
          <w:sz w:val="24"/>
        </w:rPr>
        <w:t> sur</w:t>
      </w:r>
      <w:r>
        <w:rPr>
          <w:w w:val="105"/>
          <w:sz w:val="24"/>
        </w:rPr>
        <w:t> princeps</w:t>
      </w:r>
      <w:r>
        <w:rPr>
          <w:w w:val="105"/>
          <w:sz w:val="24"/>
        </w:rPr>
        <w:t> calculées</w:t>
      </w:r>
      <w:r>
        <w:rPr>
          <w:w w:val="105"/>
          <w:sz w:val="24"/>
        </w:rPr>
        <w:t> des</w:t>
      </w:r>
      <w:r>
        <w:rPr>
          <w:w w:val="105"/>
          <w:sz w:val="24"/>
        </w:rPr>
        <w:t> valeurs</w:t>
      </w:r>
      <w:r>
        <w:rPr>
          <w:w w:val="105"/>
          <w:sz w:val="24"/>
        </w:rPr>
        <w:t> de</w:t>
      </w:r>
      <w:r>
        <w:rPr>
          <w:w w:val="105"/>
          <w:sz w:val="24"/>
        </w:rPr>
        <w:t> l’AUC</w:t>
      </w:r>
      <w:r>
        <w:rPr>
          <w:w w:val="105"/>
          <w:sz w:val="24"/>
        </w:rPr>
        <w:t> et</w:t>
      </w:r>
      <w:r>
        <w:rPr>
          <w:w w:val="105"/>
          <w:sz w:val="24"/>
        </w:rPr>
        <w:t> de</w:t>
      </w:r>
      <w:r>
        <w:rPr>
          <w:w w:val="105"/>
          <w:sz w:val="24"/>
        </w:rPr>
        <w:t> la</w:t>
      </w:r>
      <w:r>
        <w:rPr>
          <w:w w:val="105"/>
          <w:sz w:val="24"/>
        </w:rPr>
        <w:t> Cmax</w:t>
      </w:r>
      <w:r>
        <w:rPr>
          <w:w w:val="105"/>
          <w:sz w:val="24"/>
        </w:rPr>
        <w:t> sont incluses dans l’intervalle [ 80 % et 125 %]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3" w:after="0"/>
        <w:ind w:left="499" w:right="0" w:hanging="343"/>
        <w:jc w:val="both"/>
        <w:rPr>
          <w:sz w:val="24"/>
        </w:rPr>
      </w:pPr>
      <w:r>
        <w:rPr>
          <w:w w:val="105"/>
          <w:sz w:val="24"/>
        </w:rPr>
        <w:t>Toutes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réponses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fausses</w:t>
      </w:r>
    </w:p>
    <w:p>
      <w:pPr>
        <w:pStyle w:val="BodyText"/>
        <w:ind w:left="0"/>
      </w:pPr>
    </w:p>
    <w:p>
      <w:pPr>
        <w:pStyle w:val="BodyText"/>
        <w:spacing w:before="251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prix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remboursement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médicaments,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 </w:t>
      </w:r>
      <w:r>
        <w:rPr>
          <w:rFonts w:ascii="Georgia" w:hAnsi="Georgia"/>
          <w:b/>
          <w:spacing w:val="-2"/>
          <w:sz w:val="24"/>
        </w:rPr>
        <w:t>ces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questions relatives au prix et au remboursement relèvent de la compétence de l’Union </w:t>
      </w:r>
      <w:r>
        <w:rPr>
          <w:spacing w:val="-2"/>
          <w:w w:val="105"/>
          <w:sz w:val="24"/>
        </w:rPr>
        <w:t>européenne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 ministère de la Santé donne son avis sur l’inscription ou non du médicament sur la liste des spécialités remboursables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remboursement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décidé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après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évaluation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service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médical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rendu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(SMR)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Commission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Transparence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Haute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Autorité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Santé</w:t>
      </w:r>
    </w:p>
    <w:p>
      <w:pPr>
        <w:pStyle w:val="ListParagraph"/>
        <w:numPr>
          <w:ilvl w:val="0"/>
          <w:numId w:val="22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États européens doivent respecter un délai réglementaire de 180 jours pour fixer le taux de remboursement et le prix.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prix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remboursement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médicaments,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 </w:t>
      </w:r>
      <w:r>
        <w:rPr>
          <w:rFonts w:ascii="Georgia" w:hAnsi="Georgia"/>
          <w:b/>
          <w:spacing w:val="-2"/>
          <w:sz w:val="24"/>
        </w:rPr>
        <w:t>ces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détermination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SMR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six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questions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gravité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maladie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questions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spacing w:val="-5"/>
          <w:w w:val="105"/>
          <w:sz w:val="24"/>
        </w:rPr>
        <w:t>SMR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symptomatique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évite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maladie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 nature d’un traitement peut être symptomatique, organique, préventif, diagnostique, </w:t>
      </w:r>
      <w:r>
        <w:rPr>
          <w:w w:val="105"/>
          <w:sz w:val="24"/>
        </w:rPr>
        <w:t>ou </w:t>
      </w:r>
      <w:r>
        <w:rPr>
          <w:spacing w:val="-2"/>
          <w:w w:val="105"/>
          <w:sz w:val="24"/>
        </w:rPr>
        <w:t>curatif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recommandations de prise en charge de la maladie par la HAS et les sociétés savantes sont à prendre en compte dans le SMR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0"/>
          <w:footerReference w:type="default" r:id="rId2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8"/>
        </w:rPr>
        <w:t> </w:t>
      </w:r>
      <w:r>
        <w:rPr>
          <w:spacing w:val="-6"/>
        </w:rPr>
        <w:t>la</w:t>
      </w:r>
      <w:r>
        <w:rPr>
          <w:spacing w:val="8"/>
        </w:rPr>
        <w:t> </w:t>
      </w:r>
      <w:r>
        <w:rPr>
          <w:spacing w:val="-6"/>
        </w:rPr>
        <w:t>fixation</w:t>
      </w:r>
      <w:r>
        <w:rPr>
          <w:spacing w:val="8"/>
        </w:rPr>
        <w:t> </w:t>
      </w:r>
      <w:r>
        <w:rPr>
          <w:spacing w:val="-6"/>
        </w:rPr>
        <w:t>du</w:t>
      </w:r>
      <w:r>
        <w:rPr>
          <w:spacing w:val="8"/>
        </w:rPr>
        <w:t> </w:t>
      </w:r>
      <w:r>
        <w:rPr>
          <w:spacing w:val="-6"/>
        </w:rPr>
        <w:t>prix</w:t>
      </w:r>
      <w:r>
        <w:rPr>
          <w:spacing w:val="8"/>
        </w:rPr>
        <w:t> </w:t>
      </w:r>
      <w:r>
        <w:rPr>
          <w:spacing w:val="-6"/>
        </w:rPr>
        <w:t>des</w:t>
      </w:r>
      <w:r>
        <w:rPr>
          <w:spacing w:val="8"/>
        </w:rPr>
        <w:t> </w:t>
      </w:r>
      <w:r>
        <w:rPr>
          <w:spacing w:val="-6"/>
        </w:rPr>
        <w:t>médicaments,</w:t>
      </w:r>
      <w:r>
        <w:rPr>
          <w:spacing w:val="8"/>
        </w:rPr>
        <w:t> </w:t>
      </w:r>
      <w:r>
        <w:rPr>
          <w:spacing w:val="-6"/>
        </w:rPr>
        <w:t>laquelle</w:t>
      </w:r>
      <w:r>
        <w:rPr>
          <w:spacing w:val="8"/>
        </w:rPr>
        <w:t> </w:t>
      </w:r>
      <w:r>
        <w:rPr>
          <w:spacing w:val="-6"/>
        </w:rPr>
        <w:t>(lesquelles)</w:t>
      </w:r>
      <w:r>
        <w:rPr>
          <w:spacing w:val="8"/>
        </w:rPr>
        <w:t> </w:t>
      </w:r>
      <w:r>
        <w:rPr>
          <w:spacing w:val="-6"/>
        </w:rPr>
        <w:t>de</w:t>
      </w:r>
      <w:r>
        <w:rPr>
          <w:spacing w:val="8"/>
        </w:rPr>
        <w:t> </w:t>
      </w:r>
      <w:r>
        <w:rPr>
          <w:spacing w:val="-6"/>
        </w:rPr>
        <w:t>ces</w:t>
      </w:r>
      <w:r>
        <w:rPr>
          <w:spacing w:val="8"/>
        </w:rPr>
        <w:t> </w:t>
      </w:r>
      <w:r>
        <w:rPr>
          <w:spacing w:val="-6"/>
        </w:rPr>
        <w:t>pro-</w:t>
      </w:r>
      <w:r>
        <w:rPr/>
        <w:t>positions</w:t>
      </w:r>
      <w:r>
        <w:rPr>
          <w:spacing w:val="-4"/>
        </w:rPr>
        <w:t> </w:t>
      </w:r>
      <w:r>
        <w:rPr/>
        <w:t>est</w:t>
      </w:r>
      <w:r>
        <w:rPr>
          <w:spacing w:val="2"/>
        </w:rPr>
        <w:t> </w:t>
      </w:r>
      <w:r>
        <w:rPr/>
        <w:t>(sont)</w:t>
      </w:r>
      <w:r>
        <w:rPr>
          <w:spacing w:val="5"/>
        </w:rPr>
        <w:t> </w:t>
      </w:r>
      <w:r>
        <w:rPr/>
        <w:t>exacte(s)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ASMR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IV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marque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amélioration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importante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sz w:val="24"/>
        </w:rPr>
        <w:t>Pour</w:t>
      </w:r>
      <w:r>
        <w:rPr>
          <w:spacing w:val="39"/>
          <w:sz w:val="24"/>
        </w:rPr>
        <w:t> </w:t>
      </w:r>
      <w:r>
        <w:rPr>
          <w:sz w:val="24"/>
        </w:rPr>
        <w:t>évaluer</w:t>
      </w:r>
      <w:r>
        <w:rPr>
          <w:spacing w:val="39"/>
          <w:sz w:val="24"/>
        </w:rPr>
        <w:t> </w:t>
      </w:r>
      <w:r>
        <w:rPr>
          <w:sz w:val="24"/>
        </w:rPr>
        <w:t>l’ASMR,</w:t>
      </w:r>
      <w:r>
        <w:rPr>
          <w:spacing w:val="39"/>
          <w:sz w:val="24"/>
        </w:rPr>
        <w:t> </w:t>
      </w:r>
      <w:r>
        <w:rPr>
          <w:sz w:val="24"/>
        </w:rPr>
        <w:t>il</w:t>
      </w:r>
      <w:r>
        <w:rPr>
          <w:spacing w:val="39"/>
          <w:sz w:val="24"/>
        </w:rPr>
        <w:t> </w:t>
      </w:r>
      <w:r>
        <w:rPr>
          <w:sz w:val="24"/>
        </w:rPr>
        <w:t>faut</w:t>
      </w:r>
      <w:r>
        <w:rPr>
          <w:spacing w:val="39"/>
          <w:sz w:val="24"/>
        </w:rPr>
        <w:t> </w:t>
      </w:r>
      <w:r>
        <w:rPr>
          <w:sz w:val="24"/>
        </w:rPr>
        <w:t>des</w:t>
      </w:r>
      <w:r>
        <w:rPr>
          <w:spacing w:val="39"/>
          <w:sz w:val="24"/>
        </w:rPr>
        <w:t> </w:t>
      </w:r>
      <w:r>
        <w:rPr>
          <w:sz w:val="24"/>
        </w:rPr>
        <w:t>essais</w:t>
      </w:r>
      <w:r>
        <w:rPr>
          <w:spacing w:val="39"/>
          <w:sz w:val="24"/>
        </w:rPr>
        <w:t> </w:t>
      </w:r>
      <w:r>
        <w:rPr>
          <w:sz w:val="24"/>
        </w:rPr>
        <w:t>thérapeutiques</w:t>
      </w:r>
      <w:r>
        <w:rPr>
          <w:spacing w:val="39"/>
          <w:sz w:val="24"/>
        </w:rPr>
        <w:t> </w:t>
      </w:r>
      <w:r>
        <w:rPr>
          <w:sz w:val="24"/>
        </w:rPr>
        <w:t>comparatifs</w:t>
      </w:r>
      <w:r>
        <w:rPr>
          <w:spacing w:val="39"/>
          <w:sz w:val="24"/>
        </w:rPr>
        <w:t> </w:t>
      </w:r>
      <w:r>
        <w:rPr>
          <w:sz w:val="24"/>
        </w:rPr>
        <w:t>à</w:t>
      </w:r>
      <w:r>
        <w:rPr>
          <w:spacing w:val="39"/>
          <w:sz w:val="24"/>
        </w:rPr>
        <w:t> </w:t>
      </w:r>
      <w:r>
        <w:rPr>
          <w:sz w:val="24"/>
        </w:rPr>
        <w:t>des</w:t>
      </w:r>
      <w:r>
        <w:rPr>
          <w:spacing w:val="39"/>
          <w:sz w:val="24"/>
        </w:rPr>
        <w:t> </w:t>
      </w:r>
      <w:r>
        <w:rPr>
          <w:sz w:val="24"/>
        </w:rPr>
        <w:t>médicaments</w:t>
      </w:r>
      <w:r>
        <w:rPr>
          <w:spacing w:val="39"/>
          <w:sz w:val="24"/>
        </w:rPr>
        <w:t> </w:t>
      </w:r>
      <w:r>
        <w:rPr>
          <w:sz w:val="24"/>
        </w:rPr>
        <w:t>déjà commercialisés dans la même indication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 fixation du prix tient compte du prix des médicaments à même visée thérapeutique, des volumes de vente et des conditions prévisibles et réelles d’utilisation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fixation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s’inscrit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cadre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conventionnel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général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appelé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”accord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cadre” conclu entre le CEPS et le représentant de l’industrie pharmaceutique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revendiquant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ASMR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élevée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concernés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évaluation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médico-</w:t>
      </w:r>
      <w:r>
        <w:rPr>
          <w:spacing w:val="-2"/>
          <w:w w:val="105"/>
          <w:sz w:val="24"/>
        </w:rPr>
        <w:t>économique</w:t>
      </w:r>
    </w:p>
    <w:p>
      <w:pPr>
        <w:pStyle w:val="BodyText"/>
        <w:ind w:left="0"/>
      </w:pPr>
    </w:p>
    <w:p>
      <w:pPr>
        <w:pStyle w:val="BodyText"/>
        <w:spacing w:before="247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règles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prescription,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5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prescriptions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pédicures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podologues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prises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organismes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d’assu-rance maladie depuis 2005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sages-femmes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infirmiers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mêmes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droits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prescription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matière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vaccins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infirmiers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prescrire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traitements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substitution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opiacés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chirurgien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dentiste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prescrire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classés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stupéfiants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pharmaciens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d’officine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PUI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peuvent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prescrire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vaccins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vivants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atténués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règles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prescription,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Les deux destinataires de l’ordonnance sont les pharmaciens et les organismes de sécurité</w:t>
      </w:r>
      <w:r>
        <w:rPr>
          <w:spacing w:val="40"/>
          <w:w w:val="105"/>
          <w:sz w:val="24"/>
        </w:rPr>
        <w:t> </w:t>
      </w:r>
      <w:r>
        <w:rPr>
          <w:spacing w:val="-2"/>
          <w:w w:val="105"/>
          <w:sz w:val="24"/>
        </w:rPr>
        <w:t>sociale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galénique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posologie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doivent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inscrites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l’ordonnance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L’ordonnance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sécurisée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stupéfiants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délivrée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totalité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pas présentée aux pharmaciens dans les 3 jours suivant sa date d’établissement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L’ordonnance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bizone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utilisée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patients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affection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longue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durée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(ALD)</w:t>
      </w:r>
    </w:p>
    <w:p>
      <w:pPr>
        <w:pStyle w:val="ListParagraph"/>
        <w:numPr>
          <w:ilvl w:val="0"/>
          <w:numId w:val="26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prescripteur peut utiliser la mention “Non substituable : contre-indication formelle” </w:t>
      </w:r>
      <w:r>
        <w:rPr>
          <w:w w:val="105"/>
          <w:sz w:val="24"/>
        </w:rPr>
        <w:t>s’il n’existe pas de générique avec la forme galénique adaptée à l’enfant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2"/>
          <w:footerReference w:type="default" r:id="rId23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Parmi</w:t>
      </w:r>
      <w:r>
        <w:rPr>
          <w:spacing w:val="31"/>
        </w:rPr>
        <w:t> </w:t>
      </w:r>
      <w:r>
        <w:rPr>
          <w:spacing w:val="-8"/>
        </w:rPr>
        <w:t>les</w:t>
      </w:r>
      <w:r>
        <w:rPr>
          <w:spacing w:val="31"/>
        </w:rPr>
        <w:t> </w:t>
      </w:r>
      <w:r>
        <w:rPr>
          <w:spacing w:val="-8"/>
        </w:rPr>
        <w:t>propositions</w:t>
      </w:r>
      <w:r>
        <w:rPr>
          <w:spacing w:val="31"/>
        </w:rPr>
        <w:t> </w:t>
      </w:r>
      <w:r>
        <w:rPr>
          <w:spacing w:val="-8"/>
        </w:rPr>
        <w:t>suivantes</w:t>
      </w:r>
      <w:r>
        <w:rPr>
          <w:spacing w:val="31"/>
        </w:rPr>
        <w:t> </w:t>
      </w:r>
      <w:r>
        <w:rPr>
          <w:spacing w:val="-8"/>
        </w:rPr>
        <w:t>concernant</w:t>
      </w:r>
      <w:r>
        <w:rPr>
          <w:spacing w:val="31"/>
        </w:rPr>
        <w:t> </w:t>
      </w:r>
      <w:r>
        <w:rPr>
          <w:spacing w:val="-8"/>
        </w:rPr>
        <w:t>la</w:t>
      </w:r>
      <w:r>
        <w:rPr>
          <w:spacing w:val="31"/>
        </w:rPr>
        <w:t> </w:t>
      </w:r>
      <w:r>
        <w:rPr>
          <w:spacing w:val="-8"/>
        </w:rPr>
        <w:t>pharmacovigilance,</w:t>
      </w:r>
      <w:r>
        <w:rPr>
          <w:spacing w:val="31"/>
        </w:rPr>
        <w:t> </w:t>
      </w:r>
      <w:r>
        <w:rPr>
          <w:spacing w:val="-8"/>
        </w:rPr>
        <w:t>laquelle</w:t>
      </w:r>
      <w:r>
        <w:rPr>
          <w:spacing w:val="31"/>
        </w:rPr>
        <w:t> </w:t>
      </w:r>
      <w:r>
        <w:rPr>
          <w:spacing w:val="-8"/>
        </w:rPr>
        <w:t>(les-</w:t>
      </w:r>
      <w:r>
        <w:rPr>
          <w:spacing w:val="-4"/>
        </w:rPr>
        <w:t>quelles) des</w:t>
      </w:r>
      <w:r>
        <w:rPr>
          <w:spacing w:val="-1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suivantes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abus</w:t>
      </w:r>
      <w:r>
        <w:rPr>
          <w:spacing w:val="40"/>
          <w:sz w:val="24"/>
        </w:rPr>
        <w:t> </w:t>
      </w:r>
      <w:r>
        <w:rPr>
          <w:sz w:val="24"/>
        </w:rPr>
        <w:t>désigne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usage</w:t>
      </w:r>
      <w:r>
        <w:rPr>
          <w:spacing w:val="40"/>
          <w:sz w:val="24"/>
        </w:rPr>
        <w:t> </w:t>
      </w:r>
      <w:r>
        <w:rPr>
          <w:sz w:val="24"/>
        </w:rPr>
        <w:t>excessif</w:t>
      </w:r>
      <w:r>
        <w:rPr>
          <w:spacing w:val="40"/>
          <w:sz w:val="24"/>
        </w:rPr>
        <w:t> </w:t>
      </w:r>
      <w:r>
        <w:rPr>
          <w:sz w:val="24"/>
        </w:rPr>
        <w:t>intentionnel,</w:t>
      </w:r>
      <w:r>
        <w:rPr>
          <w:spacing w:val="40"/>
          <w:sz w:val="24"/>
        </w:rPr>
        <w:t> </w:t>
      </w:r>
      <w:r>
        <w:rPr>
          <w:sz w:val="24"/>
        </w:rPr>
        <w:t>persistant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sporadique,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médicaments, accompagné</w:t>
      </w:r>
      <w:r>
        <w:rPr>
          <w:spacing w:val="40"/>
          <w:sz w:val="24"/>
        </w:rPr>
        <w:t> </w:t>
      </w:r>
      <w:r>
        <w:rPr>
          <w:sz w:val="24"/>
        </w:rPr>
        <w:t>de</w:t>
      </w:r>
      <w:r>
        <w:rPr>
          <w:spacing w:val="40"/>
          <w:sz w:val="24"/>
        </w:rPr>
        <w:t> </w:t>
      </w:r>
      <w:r>
        <w:rPr>
          <w:sz w:val="24"/>
        </w:rPr>
        <w:t>réactions</w:t>
      </w:r>
      <w:r>
        <w:rPr>
          <w:spacing w:val="40"/>
          <w:sz w:val="24"/>
        </w:rPr>
        <w:t> </w:t>
      </w:r>
      <w:r>
        <w:rPr>
          <w:sz w:val="24"/>
        </w:rPr>
        <w:t>physiques</w:t>
      </w:r>
      <w:r>
        <w:rPr>
          <w:spacing w:val="40"/>
          <w:sz w:val="24"/>
        </w:rPr>
        <w:t> </w:t>
      </w:r>
      <w:r>
        <w:rPr>
          <w:sz w:val="24"/>
        </w:rPr>
        <w:t>ou</w:t>
      </w:r>
      <w:r>
        <w:rPr>
          <w:spacing w:val="40"/>
          <w:sz w:val="24"/>
        </w:rPr>
        <w:t> </w:t>
      </w:r>
      <w:r>
        <w:rPr>
          <w:sz w:val="24"/>
        </w:rPr>
        <w:t>psychologiques</w:t>
      </w:r>
      <w:r>
        <w:rPr>
          <w:spacing w:val="40"/>
          <w:sz w:val="24"/>
        </w:rPr>
        <w:t> </w:t>
      </w:r>
      <w:r>
        <w:rPr>
          <w:sz w:val="24"/>
        </w:rPr>
        <w:t>nocives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iatrogénie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médicamenteuse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désigne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évènements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liés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l’intervention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d’un professionnel de santé et ayant des conséquences néfastes sur la santé d’un patient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désignent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cutanés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traitement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L’anémie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hémolytique est un effet indésirable de type B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 mécanisme immuno-</w:t>
      </w:r>
      <w:r>
        <w:rPr>
          <w:spacing w:val="-2"/>
          <w:w w:val="105"/>
          <w:sz w:val="24"/>
        </w:rPr>
        <w:t>allergique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ré-administration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contre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indiquée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spacing w:val="-10"/>
          <w:w w:val="105"/>
          <w:sz w:val="24"/>
        </w:rPr>
        <w:t>C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pharmacovigilance, laquelle (lesquelles) de ces propositions est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exactes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survenue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reste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vie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 </w:t>
      </w:r>
      <w:r>
        <w:rPr>
          <w:spacing w:val="-2"/>
          <w:w w:val="105"/>
          <w:sz w:val="24"/>
        </w:rPr>
        <w:t>médicament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2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3ème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trimestre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grossesse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période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propice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tératogenèse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indésirable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inattendu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détecté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essais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cliniques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thrombose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patients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hypersensibles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Warfarine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polymédication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facteur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lié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médicament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44" w:lineRule="auto" w:before="7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pharmacovigilance, laquelle (lesquelles) de ces propositions est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exactes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produits</w:t>
      </w:r>
      <w:r>
        <w:rPr>
          <w:spacing w:val="40"/>
          <w:sz w:val="24"/>
        </w:rPr>
        <w:t> </w:t>
      </w:r>
      <w:r>
        <w:rPr>
          <w:sz w:val="24"/>
        </w:rPr>
        <w:t>sanguins</w:t>
      </w:r>
      <w:r>
        <w:rPr>
          <w:spacing w:val="40"/>
          <w:sz w:val="24"/>
        </w:rPr>
        <w:t> </w:t>
      </w:r>
      <w:r>
        <w:rPr>
          <w:sz w:val="24"/>
        </w:rPr>
        <w:t>labiles</w:t>
      </w:r>
      <w:r>
        <w:rPr>
          <w:spacing w:val="40"/>
          <w:sz w:val="24"/>
        </w:rPr>
        <w:t> </w:t>
      </w:r>
      <w:r>
        <w:rPr>
          <w:sz w:val="24"/>
        </w:rPr>
        <w:t>sont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médicaments</w:t>
      </w:r>
      <w:r>
        <w:rPr>
          <w:spacing w:val="40"/>
          <w:sz w:val="24"/>
        </w:rPr>
        <w:t> </w:t>
      </w:r>
      <w:r>
        <w:rPr>
          <w:sz w:val="24"/>
        </w:rPr>
        <w:t>dont</w:t>
      </w:r>
      <w:r>
        <w:rPr>
          <w:spacing w:val="40"/>
          <w:sz w:val="24"/>
        </w:rPr>
        <w:t> </w:t>
      </w:r>
      <w:r>
        <w:rPr>
          <w:sz w:val="24"/>
        </w:rPr>
        <w:t>les</w:t>
      </w:r>
      <w:r>
        <w:rPr>
          <w:spacing w:val="40"/>
          <w:sz w:val="24"/>
        </w:rPr>
        <w:t> </w:t>
      </w:r>
      <w:r>
        <w:rPr>
          <w:sz w:val="24"/>
        </w:rPr>
        <w:t>effets</w:t>
      </w:r>
      <w:r>
        <w:rPr>
          <w:spacing w:val="40"/>
          <w:sz w:val="24"/>
        </w:rPr>
        <w:t> </w:t>
      </w:r>
      <w:r>
        <w:rPr>
          <w:sz w:val="24"/>
        </w:rPr>
        <w:t>indésirables</w:t>
      </w:r>
      <w:r>
        <w:rPr>
          <w:spacing w:val="40"/>
          <w:sz w:val="24"/>
        </w:rPr>
        <w:t> </w:t>
      </w:r>
      <w:r>
        <w:rPr>
          <w:sz w:val="24"/>
        </w:rPr>
        <w:t>sont</w:t>
      </w:r>
      <w:r>
        <w:rPr>
          <w:spacing w:val="40"/>
          <w:sz w:val="24"/>
        </w:rPr>
        <w:t> </w:t>
      </w:r>
      <w:r>
        <w:rPr>
          <w:sz w:val="24"/>
        </w:rPr>
        <w:t>pris</w:t>
      </w:r>
      <w:r>
        <w:rPr>
          <w:spacing w:val="40"/>
          <w:sz w:val="24"/>
        </w:rPr>
        <w:t> </w:t>
      </w:r>
      <w:r>
        <w:rPr>
          <w:sz w:val="24"/>
        </w:rPr>
        <w:t>en charge par l’hémovigilance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L’addictovigilance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concerne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toute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ayant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psychoactif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exemple le tabac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effet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indésirable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considéré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comme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très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rare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fréquence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inférieure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0,01%</w:t>
      </w:r>
    </w:p>
    <w:p>
      <w:pPr>
        <w:pStyle w:val="ListParagraph"/>
        <w:numPr>
          <w:ilvl w:val="0"/>
          <w:numId w:val="29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both"/>
        <w:rPr>
          <w:sz w:val="24"/>
        </w:rPr>
      </w:pPr>
      <w:r>
        <w:rPr>
          <w:w w:val="105"/>
          <w:sz w:val="24"/>
        </w:rPr>
        <w:t>La</w:t>
      </w:r>
      <w:r>
        <w:rPr>
          <w:w w:val="105"/>
          <w:sz w:val="24"/>
        </w:rPr>
        <w:t> pharmacovigilance</w:t>
      </w:r>
      <w:r>
        <w:rPr>
          <w:w w:val="105"/>
          <w:sz w:val="24"/>
        </w:rPr>
        <w:t> fonctionne</w:t>
      </w:r>
      <w:r>
        <w:rPr>
          <w:w w:val="105"/>
          <w:sz w:val="24"/>
        </w:rPr>
        <w:t> en</w:t>
      </w:r>
      <w:r>
        <w:rPr>
          <w:w w:val="105"/>
          <w:sz w:val="24"/>
        </w:rPr>
        <w:t> trois</w:t>
      </w:r>
      <w:r>
        <w:rPr>
          <w:w w:val="105"/>
          <w:sz w:val="24"/>
        </w:rPr>
        <w:t> étapes</w:t>
      </w:r>
      <w:r>
        <w:rPr>
          <w:w w:val="105"/>
          <w:sz w:val="24"/>
        </w:rPr>
        <w:t> :</w:t>
      </w:r>
      <w:r>
        <w:rPr>
          <w:w w:val="105"/>
          <w:sz w:val="24"/>
        </w:rPr>
        <w:t> le</w:t>
      </w:r>
      <w:r>
        <w:rPr>
          <w:w w:val="105"/>
          <w:sz w:val="24"/>
        </w:rPr>
        <w:t> signalement</w:t>
      </w:r>
      <w:r>
        <w:rPr>
          <w:w w:val="105"/>
          <w:sz w:val="24"/>
        </w:rPr>
        <w:t> des</w:t>
      </w:r>
      <w:r>
        <w:rPr>
          <w:w w:val="105"/>
          <w:sz w:val="24"/>
        </w:rPr>
        <w:t> effets</w:t>
      </w:r>
      <w:r>
        <w:rPr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w w:val="105"/>
          <w:sz w:val="24"/>
        </w:rPr>
        <w:t> l’enregistrement,</w:t>
      </w:r>
      <w:r>
        <w:rPr>
          <w:w w:val="105"/>
          <w:sz w:val="24"/>
        </w:rPr>
        <w:t> l’analyse</w:t>
      </w:r>
      <w:r>
        <w:rPr>
          <w:w w:val="105"/>
          <w:sz w:val="24"/>
        </w:rPr>
        <w:t> et</w:t>
      </w:r>
      <w:r>
        <w:rPr>
          <w:w w:val="105"/>
          <w:sz w:val="24"/>
        </w:rPr>
        <w:t> la</w:t>
      </w:r>
      <w:r>
        <w:rPr>
          <w:w w:val="105"/>
          <w:sz w:val="24"/>
        </w:rPr>
        <w:t> transmission</w:t>
      </w:r>
      <w:r>
        <w:rPr>
          <w:w w:val="105"/>
          <w:sz w:val="24"/>
        </w:rPr>
        <w:t> par</w:t>
      </w:r>
      <w:r>
        <w:rPr>
          <w:w w:val="105"/>
          <w:sz w:val="24"/>
        </w:rPr>
        <w:t> les</w:t>
      </w:r>
      <w:r>
        <w:rPr>
          <w:w w:val="105"/>
          <w:sz w:val="24"/>
        </w:rPr>
        <w:t> 31</w:t>
      </w:r>
      <w:r>
        <w:rPr>
          <w:w w:val="105"/>
          <w:sz w:val="24"/>
        </w:rPr>
        <w:t> CRPV</w:t>
      </w:r>
      <w:r>
        <w:rPr>
          <w:w w:val="105"/>
          <w:sz w:val="24"/>
        </w:rPr>
        <w:t> de</w:t>
      </w:r>
      <w:r>
        <w:rPr>
          <w:w w:val="105"/>
          <w:sz w:val="24"/>
        </w:rPr>
        <w:t> ces</w:t>
      </w:r>
      <w:r>
        <w:rPr>
          <w:w w:val="105"/>
          <w:sz w:val="24"/>
        </w:rPr>
        <w:t> déclarations relatives</w:t>
      </w:r>
      <w:r>
        <w:rPr>
          <w:w w:val="105"/>
          <w:sz w:val="24"/>
        </w:rPr>
        <w:t> aux</w:t>
      </w:r>
      <w:r>
        <w:rPr>
          <w:w w:val="105"/>
          <w:sz w:val="24"/>
        </w:rPr>
        <w:t> effets</w:t>
      </w:r>
      <w:r>
        <w:rPr>
          <w:w w:val="105"/>
          <w:sz w:val="24"/>
        </w:rPr>
        <w:t> indésirables</w:t>
      </w:r>
      <w:r>
        <w:rPr>
          <w:w w:val="105"/>
          <w:sz w:val="24"/>
        </w:rPr>
        <w:t> et</w:t>
      </w:r>
      <w:r>
        <w:rPr>
          <w:w w:val="105"/>
          <w:sz w:val="24"/>
        </w:rPr>
        <w:t> enfin</w:t>
      </w:r>
      <w:r>
        <w:rPr>
          <w:w w:val="105"/>
          <w:sz w:val="24"/>
        </w:rPr>
        <w:t> l’analyse,</w:t>
      </w:r>
      <w:r>
        <w:rPr>
          <w:w w:val="105"/>
          <w:sz w:val="24"/>
        </w:rPr>
        <w:t> la</w:t>
      </w:r>
      <w:r>
        <w:rPr>
          <w:w w:val="105"/>
          <w:sz w:val="24"/>
        </w:rPr>
        <w:t> décision,</w:t>
      </w:r>
      <w:r>
        <w:rPr>
          <w:w w:val="105"/>
          <w:sz w:val="24"/>
        </w:rPr>
        <w:t> l’information</w:t>
      </w:r>
      <w:r>
        <w:rPr>
          <w:w w:val="105"/>
          <w:sz w:val="24"/>
        </w:rPr>
        <w:t> quant</w:t>
      </w:r>
      <w:r>
        <w:rPr>
          <w:w w:val="105"/>
          <w:sz w:val="24"/>
        </w:rPr>
        <w:t> à</w:t>
      </w:r>
      <w:r>
        <w:rPr>
          <w:w w:val="105"/>
          <w:sz w:val="24"/>
        </w:rPr>
        <w:t> ces effets indésirables par l’ANSM et l’EMA</w:t>
      </w:r>
    </w:p>
    <w:p>
      <w:pPr>
        <w:pStyle w:val="ListParagraph"/>
        <w:numPr>
          <w:ilvl w:val="0"/>
          <w:numId w:val="29"/>
        </w:numPr>
        <w:tabs>
          <w:tab w:pos="500" w:val="left" w:leader="none"/>
        </w:tabs>
        <w:spacing w:line="242" w:lineRule="auto" w:before="83" w:after="0"/>
        <w:ind w:left="500" w:right="139" w:hanging="344"/>
        <w:jc w:val="both"/>
        <w:rPr>
          <w:sz w:val="24"/>
        </w:rPr>
      </w:pPr>
      <w:r>
        <w:rPr>
          <w:w w:val="105"/>
          <w:sz w:val="24"/>
        </w:rPr>
        <w:t>Les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professionnels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(pharmaciens,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médecins,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sages-femmes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dentistes)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ainsi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les entreprises du médicament sont dans l’obligation de signaler tout effet indésirable suspecté</w:t>
      </w:r>
    </w:p>
    <w:p>
      <w:pPr>
        <w:pStyle w:val="ListParagraph"/>
        <w:spacing w:after="0" w:line="242" w:lineRule="auto"/>
        <w:jc w:val="both"/>
        <w:rPr>
          <w:sz w:val="24"/>
        </w:rPr>
        <w:sectPr>
          <w:headerReference w:type="default" r:id="rId24"/>
          <w:footerReference w:type="default" r:id="rId2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9"/>
        </w:rPr>
        <w:t> </w:t>
      </w:r>
      <w:r>
        <w:rPr>
          <w:spacing w:val="-6"/>
        </w:rPr>
        <w:t>le</w:t>
      </w:r>
      <w:r>
        <w:rPr>
          <w:spacing w:val="29"/>
        </w:rPr>
        <w:t> </w:t>
      </w:r>
      <w:r>
        <w:rPr>
          <w:spacing w:val="-6"/>
        </w:rPr>
        <w:t>bon</w:t>
      </w:r>
      <w:r>
        <w:rPr>
          <w:spacing w:val="29"/>
        </w:rPr>
        <w:t> </w:t>
      </w:r>
      <w:r>
        <w:rPr>
          <w:spacing w:val="-6"/>
        </w:rPr>
        <w:t>usage</w:t>
      </w:r>
      <w:r>
        <w:rPr>
          <w:spacing w:val="29"/>
        </w:rPr>
        <w:t> </w:t>
      </w:r>
      <w:r>
        <w:rPr>
          <w:spacing w:val="-6"/>
        </w:rPr>
        <w:t>du</w:t>
      </w:r>
      <w:r>
        <w:rPr>
          <w:spacing w:val="29"/>
        </w:rPr>
        <w:t> </w:t>
      </w:r>
      <w:r>
        <w:rPr>
          <w:spacing w:val="-6"/>
        </w:rPr>
        <w:t>médicament,</w:t>
      </w:r>
      <w:r>
        <w:rPr>
          <w:spacing w:val="28"/>
        </w:rPr>
        <w:t> </w:t>
      </w:r>
      <w:r>
        <w:rPr>
          <w:spacing w:val="-6"/>
        </w:rPr>
        <w:t>laquelle</w:t>
      </w:r>
      <w:r>
        <w:rPr>
          <w:spacing w:val="29"/>
        </w:rPr>
        <w:t> </w:t>
      </w:r>
      <w:r>
        <w:rPr>
          <w:spacing w:val="-6"/>
        </w:rPr>
        <w:t>(lesquelles)</w:t>
      </w:r>
      <w:r>
        <w:rPr>
          <w:spacing w:val="29"/>
        </w:rPr>
        <w:t> </w:t>
      </w:r>
      <w:r>
        <w:rPr>
          <w:spacing w:val="-6"/>
        </w:rPr>
        <w:t>des</w:t>
      </w:r>
      <w:r>
        <w:rPr>
          <w:spacing w:val="29"/>
        </w:rPr>
        <w:t> </w:t>
      </w:r>
      <w:r>
        <w:rPr>
          <w:spacing w:val="-6"/>
        </w:rPr>
        <w:t>propositions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(sont)</w:t>
      </w:r>
      <w:r>
        <w:rPr>
          <w:spacing w:val="4"/>
        </w:rPr>
        <w:t> </w:t>
      </w:r>
      <w:r>
        <w:rPr/>
        <w:t>exactes</w:t>
      </w:r>
      <w:r>
        <w:rPr>
          <w:spacing w:val="-17"/>
        </w:rPr>
        <w:t> </w:t>
      </w:r>
      <w:r>
        <w:rPr/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L’évaluation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bonne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tolérance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ressort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l’infirmier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L’erreur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médicamenteuse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l’omission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réalisation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non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intentionnelle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acte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impli-quant un médicament durant le processus de soins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10"/>
          <w:sz w:val="24"/>
        </w:rPr>
        <w:t>Une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erreur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médicamenteuse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latente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interceptée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avant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administration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produit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au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pa-</w:t>
      </w:r>
      <w:r>
        <w:rPr>
          <w:spacing w:val="-2"/>
          <w:w w:val="110"/>
          <w:sz w:val="24"/>
        </w:rPr>
        <w:t>tient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L’erreur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galénique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d’erreur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médicamenteuse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L’erreur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posologie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cause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d’erreur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médicamenteuse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bon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usage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médicament,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exactes.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L’ANSM,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l’HAS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l’EMA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sources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d’informations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contrôlée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RCP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posologie,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pharmacocinétique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production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médica-</w:t>
      </w:r>
      <w:r>
        <w:rPr>
          <w:spacing w:val="-4"/>
          <w:w w:val="105"/>
          <w:sz w:val="24"/>
        </w:rPr>
        <w:t>ment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L’observance est l’adéquation entre le comportement du patient et les recommandations de son médecin concernant sa prise en charge thérapeutique</w:t>
      </w:r>
    </w:p>
    <w:p>
      <w:pPr>
        <w:pStyle w:val="ListParagraph"/>
        <w:numPr>
          <w:ilvl w:val="0"/>
          <w:numId w:val="31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Pour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promotion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bon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usage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médicament,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existe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niveaux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d’intervention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l’échelle du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patient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l’éducation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santé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l’éducation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8"/>
          <w:w w:val="105"/>
          <w:sz w:val="24"/>
        </w:rPr>
        <w:t> </w:t>
      </w:r>
      <w:r>
        <w:rPr>
          <w:w w:val="105"/>
          <w:sz w:val="24"/>
        </w:rPr>
        <w:t>patient</w:t>
      </w:r>
    </w:p>
    <w:p>
      <w:pPr>
        <w:pStyle w:val="ListParagraph"/>
        <w:numPr>
          <w:ilvl w:val="0"/>
          <w:numId w:val="31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 médecin prescrit à bon escient le médicament, suit le patient et s’assure de </w:t>
      </w:r>
      <w:r>
        <w:rPr>
          <w:w w:val="105"/>
          <w:sz w:val="24"/>
        </w:rPr>
        <w:t>l’administra-tion des médicaments</w:t>
      </w:r>
    </w:p>
    <w:p>
      <w:pPr>
        <w:pStyle w:val="BodyText"/>
        <w:ind w:left="0"/>
      </w:pPr>
    </w:p>
    <w:p>
      <w:pPr>
        <w:pStyle w:val="BodyText"/>
        <w:spacing w:before="203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aspects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sociétaux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économiques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médicament,</w:t>
      </w:r>
      <w:r>
        <w:rPr>
          <w:rFonts w:ascii="Georgia" w:hAnsi="Georgia"/>
          <w:b/>
          <w:spacing w:val="2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(les-</w:t>
      </w:r>
      <w:r>
        <w:rPr>
          <w:rFonts w:ascii="Georgia" w:hAnsi="Georgia"/>
          <w:b/>
          <w:spacing w:val="-4"/>
          <w:sz w:val="24"/>
        </w:rPr>
        <w:t>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suivantes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(sont)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exactes.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En 2019, la consommation de soins et biens médicaux équivaut à 37 milliards d’euros, dont 33 milliards en ville et 4 à l’hôpital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France est le quatrième pays où les ménages financent le moins la dépense courante de santé au sens international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L’arrêt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statines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d’infarctus</w:t>
      </w:r>
    </w:p>
    <w:p>
      <w:pPr>
        <w:pStyle w:val="ListParagraph"/>
        <w:numPr>
          <w:ilvl w:val="0"/>
          <w:numId w:val="32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antihypertenseurs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prescrits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prendre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matin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susceptibles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d’être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 rapport à ceux prescrits à prendre le soir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mucoviscidose</w:t>
      </w:r>
      <w:r>
        <w:rPr>
          <w:spacing w:val="27"/>
          <w:sz w:val="24"/>
        </w:rPr>
        <w:t> </w:t>
      </w:r>
      <w:r>
        <w:rPr>
          <w:sz w:val="24"/>
        </w:rPr>
        <w:t>touche</w:t>
      </w:r>
      <w:r>
        <w:rPr>
          <w:spacing w:val="27"/>
          <w:sz w:val="24"/>
        </w:rPr>
        <w:t> </w:t>
      </w:r>
      <w:r>
        <w:rPr>
          <w:sz w:val="24"/>
        </w:rPr>
        <w:t>20</w:t>
      </w:r>
      <w:r>
        <w:rPr>
          <w:spacing w:val="26"/>
          <w:sz w:val="24"/>
        </w:rPr>
        <w:t> </w:t>
      </w:r>
      <w:r>
        <w:rPr>
          <w:sz w:val="24"/>
        </w:rPr>
        <w:t>personnes</w:t>
      </w:r>
      <w:r>
        <w:rPr>
          <w:spacing w:val="27"/>
          <w:sz w:val="24"/>
        </w:rPr>
        <w:t> </w:t>
      </w:r>
      <w:r>
        <w:rPr>
          <w:sz w:val="24"/>
        </w:rPr>
        <w:t>sur</w:t>
      </w:r>
      <w:r>
        <w:rPr>
          <w:spacing w:val="27"/>
          <w:sz w:val="24"/>
        </w:rPr>
        <w:t> </w:t>
      </w:r>
      <w:r>
        <w:rPr>
          <w:sz w:val="24"/>
        </w:rPr>
        <w:t>100</w:t>
      </w:r>
      <w:r>
        <w:rPr>
          <w:spacing w:val="26"/>
          <w:sz w:val="24"/>
        </w:rPr>
        <w:t> </w:t>
      </w:r>
      <w:r>
        <w:rPr>
          <w:spacing w:val="-5"/>
          <w:sz w:val="24"/>
        </w:rPr>
        <w:t>000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6"/>
          <w:footerReference w:type="default" r:id="rId27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8"/>
        </w:rPr>
        <w:t> </w:t>
      </w:r>
      <w:r>
        <w:rPr>
          <w:spacing w:val="-6"/>
        </w:rPr>
        <w:t>les</w:t>
      </w:r>
      <w:r>
        <w:rPr>
          <w:spacing w:val="29"/>
        </w:rPr>
        <w:t> </w:t>
      </w:r>
      <w:r>
        <w:rPr>
          <w:spacing w:val="-6"/>
        </w:rPr>
        <w:t>aspects</w:t>
      </w:r>
      <w:r>
        <w:rPr>
          <w:spacing w:val="29"/>
        </w:rPr>
        <w:t> </w:t>
      </w:r>
      <w:r>
        <w:rPr>
          <w:spacing w:val="-6"/>
        </w:rPr>
        <w:t>sociétaux</w:t>
      </w:r>
      <w:r>
        <w:rPr>
          <w:spacing w:val="28"/>
        </w:rPr>
        <w:t> </w:t>
      </w:r>
      <w:r>
        <w:rPr>
          <w:spacing w:val="-6"/>
        </w:rPr>
        <w:t>et</w:t>
      </w:r>
      <w:r>
        <w:rPr>
          <w:spacing w:val="29"/>
        </w:rPr>
        <w:t> </w:t>
      </w:r>
      <w:r>
        <w:rPr>
          <w:spacing w:val="-6"/>
        </w:rPr>
        <w:t>économiques</w:t>
      </w:r>
      <w:r>
        <w:rPr>
          <w:spacing w:val="28"/>
        </w:rPr>
        <w:t> </w:t>
      </w:r>
      <w:r>
        <w:rPr>
          <w:spacing w:val="-6"/>
        </w:rPr>
        <w:t>du</w:t>
      </w:r>
      <w:r>
        <w:rPr>
          <w:spacing w:val="29"/>
        </w:rPr>
        <w:t> </w:t>
      </w:r>
      <w:r>
        <w:rPr>
          <w:spacing w:val="-6"/>
        </w:rPr>
        <w:t>médicament,</w:t>
      </w:r>
      <w:r>
        <w:rPr>
          <w:spacing w:val="28"/>
        </w:rPr>
        <w:t> </w:t>
      </w:r>
      <w:r>
        <w:rPr>
          <w:spacing w:val="-6"/>
        </w:rPr>
        <w:t>laquelle</w:t>
      </w:r>
      <w:r>
        <w:rPr>
          <w:spacing w:val="29"/>
        </w:rPr>
        <w:t> </w:t>
      </w:r>
      <w:r>
        <w:rPr>
          <w:spacing w:val="-6"/>
        </w:rPr>
        <w:t>(les-</w:t>
      </w:r>
      <w:r>
        <w:rPr>
          <w:spacing w:val="-4"/>
        </w:rPr>
        <w:t>quelles)</w:t>
      </w:r>
      <w:r>
        <w:rPr/>
        <w:t> </w:t>
      </w:r>
      <w:r>
        <w:rPr>
          <w:spacing w:val="-4"/>
        </w:rPr>
        <w:t>des</w:t>
      </w:r>
      <w:r>
        <w:rPr/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suivantes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exactes.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Après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campagne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2010,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céphalosporine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été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prescrite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l’hôpital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1986,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premières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trithérapies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disponibles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inhiber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l’efficacité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virus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VIH</w:t>
      </w:r>
    </w:p>
    <w:p>
      <w:pPr>
        <w:pStyle w:val="ListParagraph"/>
        <w:numPr>
          <w:ilvl w:val="0"/>
          <w:numId w:val="33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2013,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seulement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37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%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l’ensemble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vivant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VIH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avaient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accès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aux </w:t>
      </w:r>
      <w:r>
        <w:rPr>
          <w:spacing w:val="-2"/>
          <w:w w:val="105"/>
          <w:sz w:val="24"/>
        </w:rPr>
        <w:t>antirétroviraux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Tous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médicaments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entraînant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effets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indésirables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graves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retirés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marché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traitement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d’homéopathie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être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remboursé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pharmacoéconomie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faible,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demandée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sera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grande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L’offre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relation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bien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quantité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consommateurs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sont disposés à offrir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d’élasticité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forte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lorsque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demande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peu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sensible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prix</w:t>
      </w:r>
    </w:p>
    <w:p>
      <w:pPr>
        <w:pStyle w:val="ListParagraph"/>
        <w:numPr>
          <w:ilvl w:val="0"/>
          <w:numId w:val="34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Les 5 règles de la concurrence pure et parfaite sont l’atomicité, la bienveillance, le fait qu’il n’y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ait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barrière,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l’homogénéité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produit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mobilité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facteurs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production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valeur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connue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moment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l’achat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pharmacoéconomie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 principe général dans une économie de marché est que les prix doivent refléter la </w:t>
      </w:r>
      <w:r>
        <w:rPr>
          <w:w w:val="105"/>
          <w:sz w:val="24"/>
        </w:rPr>
        <w:t>valeur et non les coûts</w:t>
      </w:r>
    </w:p>
    <w:p>
      <w:pPr>
        <w:pStyle w:val="ListParagraph"/>
        <w:numPr>
          <w:ilvl w:val="0"/>
          <w:numId w:val="35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La valeur d’un médicament est mesurée par sa capacité à prolonger la vie ou améliorer </w:t>
      </w:r>
      <w:r>
        <w:rPr>
          <w:w w:val="105"/>
          <w:sz w:val="24"/>
        </w:rPr>
        <w:t>la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qualité de vie en répondant à un besoin non satisfait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prix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théoriquement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d’autant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élevé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médicament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efficace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France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2ème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marché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pharmaceutique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européen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derrière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l’Allemagne</w:t>
      </w:r>
    </w:p>
    <w:p>
      <w:pPr>
        <w:pStyle w:val="ListParagraph"/>
        <w:numPr>
          <w:ilvl w:val="0"/>
          <w:numId w:val="35"/>
        </w:numPr>
        <w:tabs>
          <w:tab w:pos="500" w:val="left" w:leader="none"/>
        </w:tabs>
        <w:spacing w:line="242" w:lineRule="auto" w:before="86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La méthode de référence interne consiste en l’application des prix du médicament concerné pratiqués dans un groupe de pays comparateurs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28"/>
          <w:footerReference w:type="default" r:id="rId29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pharmacoéconomie</w:t>
      </w:r>
      <w:r>
        <w:rPr>
          <w:spacing w:val="40"/>
        </w:rPr>
        <w:t> </w:t>
      </w:r>
      <w:r>
        <w:rPr>
          <w:w w:val="90"/>
        </w:rPr>
        <w:t>laquelle</w:t>
      </w:r>
      <w:r>
        <w:rPr>
          <w:spacing w:val="40"/>
        </w:rPr>
        <w:t> </w:t>
      </w:r>
      <w:r>
        <w:rPr>
          <w:w w:val="90"/>
        </w:rPr>
        <w:t>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 </w:t>
      </w:r>
      <w:r>
        <w:rPr/>
        <w:t>est</w:t>
      </w:r>
      <w:r>
        <w:rPr>
          <w:spacing w:val="37"/>
        </w:rPr>
        <w:t> </w:t>
      </w:r>
      <w:r>
        <w:rPr/>
        <w:t>(sont)</w:t>
      </w:r>
      <w:r>
        <w:rPr>
          <w:spacing w:val="37"/>
        </w:rPr>
        <w:t> </w:t>
      </w:r>
      <w:r>
        <w:rPr/>
        <w:t>exactes</w:t>
      </w:r>
      <w:r>
        <w:rPr>
          <w:spacing w:val="-13"/>
        </w:rPr>
        <w:t> </w:t>
      </w:r>
      <w:r>
        <w:rPr/>
        <w:t>?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résultat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l’évaluation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économique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présente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forme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ratio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appelé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ratio différentiel coût-résultat</w:t>
      </w:r>
    </w:p>
    <w:p>
      <w:pPr>
        <w:pStyle w:val="ListParagraph"/>
        <w:numPr>
          <w:ilvl w:val="0"/>
          <w:numId w:val="36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L’efficience consiste à se demander si les coûts engagés sont justifiés par les gains en santé </w:t>
      </w:r>
      <w:r>
        <w:rPr>
          <w:spacing w:val="-2"/>
          <w:w w:val="105"/>
          <w:sz w:val="24"/>
        </w:rPr>
        <w:t>obtenus</w:t>
      </w:r>
    </w:p>
    <w:p>
      <w:pPr>
        <w:pStyle w:val="ListParagraph"/>
        <w:numPr>
          <w:ilvl w:val="0"/>
          <w:numId w:val="36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 ratio différentiel coût-efficacité correspond au rapport de la différence d’efficacité </w:t>
      </w:r>
      <w:r>
        <w:rPr>
          <w:w w:val="105"/>
          <w:sz w:val="24"/>
        </w:rPr>
        <w:t>entre deux traitements et de la différence de coût associée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L’interprétation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résultats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relève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décision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technique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Une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intervention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dominante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elle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chère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efficace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qu’une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autre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0"/>
          <w:footerReference w:type="default" r:id="rId31"/>
          <w:pgSz w:w="11910" w:h="16840"/>
          <w:pgMar w:header="789" w:footer="619" w:top="130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6"/>
        <w:ind w:left="0"/>
        <w:rPr>
          <w:rFonts w:ascii="Georgia"/>
          <w:b/>
          <w:sz w:val="30"/>
        </w:rPr>
      </w:pPr>
    </w:p>
    <w:p>
      <w:pPr>
        <w:pStyle w:val="Heading2"/>
        <w:spacing w:before="0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261" w:right="259"/>
        <w:jc w:val="center"/>
      </w:pPr>
      <w:r>
        <w:rPr>
          <w:spacing w:val="-2"/>
          <w:w w:val="105"/>
        </w:rPr>
        <w:t>AYADA-ANGOULVANT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Amina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(L.AS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3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Sciences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Psychologiques),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Alicia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ZHANG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(L.AS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2 </w:t>
      </w:r>
      <w:r>
        <w:rPr>
          <w:w w:val="105"/>
        </w:rPr>
        <w:t>Biomédicales), Jana CHIKHAOUI (L.AS 2 SIAS), Mayena LAHBIB (L.AS 2 MedPhy), Mai-Lan Tandavarayen (L1 Biomed), Ombeline D’ANTERROCHES (LAS2 Biomed), Benjamin PLASSART (RM SHS EB 2025-2026, DFGSM2), Mehdi Serisser (DFGSM2),</w:t>
      </w:r>
    </w:p>
    <w:p>
      <w:pPr>
        <w:pStyle w:val="BodyText"/>
        <w:spacing w:line="242" w:lineRule="auto"/>
        <w:ind w:left="86" w:right="84"/>
        <w:jc w:val="center"/>
      </w:pPr>
      <w:r>
        <w:rPr>
          <w:w w:val="105"/>
        </w:rPr>
        <w:t>Mihran FARRUGIA (DFGSO2), Hela SEOUDI MOHAMED (L.AS 3 Arabe maghrébin), Léa NDOUR (DFGSM2)</w:t>
      </w:r>
    </w:p>
    <w:p>
      <w:pPr>
        <w:pStyle w:val="BodyText"/>
        <w:spacing w:before="60"/>
        <w:ind w:left="0"/>
      </w:pP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86" w:right="84"/>
        <w:jc w:val="center"/>
      </w:pPr>
      <w:r>
        <w:rPr>
          <w:w w:val="105"/>
        </w:rPr>
        <w:t>Mayena LAHBIB (L.AS 2 MedPhy), Mai-Lan Tandavarayen (L1 Biomed), Ombeline D’ANTERROCHES</w:t>
      </w:r>
      <w:r>
        <w:rPr>
          <w:spacing w:val="-6"/>
          <w:w w:val="105"/>
        </w:rPr>
        <w:t> </w:t>
      </w:r>
      <w:r>
        <w:rPr>
          <w:w w:val="105"/>
        </w:rPr>
        <w:t>(LAS2</w:t>
      </w:r>
      <w:r>
        <w:rPr>
          <w:spacing w:val="-6"/>
          <w:w w:val="105"/>
        </w:rPr>
        <w:t> </w:t>
      </w:r>
      <w:r>
        <w:rPr>
          <w:w w:val="105"/>
        </w:rPr>
        <w:t>Biomed),</w:t>
      </w:r>
      <w:r>
        <w:rPr>
          <w:spacing w:val="-6"/>
          <w:w w:val="105"/>
        </w:rPr>
        <w:t> </w:t>
      </w:r>
      <w:r>
        <w:rPr>
          <w:w w:val="105"/>
        </w:rPr>
        <w:t>Steven</w:t>
      </w:r>
      <w:r>
        <w:rPr>
          <w:spacing w:val="-6"/>
          <w:w w:val="105"/>
        </w:rPr>
        <w:t> </w:t>
      </w:r>
      <w:r>
        <w:rPr>
          <w:w w:val="105"/>
        </w:rPr>
        <w:t>SAING</w:t>
      </w:r>
      <w:r>
        <w:rPr>
          <w:spacing w:val="-6"/>
          <w:w w:val="105"/>
        </w:rPr>
        <w:t> </w:t>
      </w:r>
      <w:r>
        <w:rPr>
          <w:w w:val="105"/>
        </w:rPr>
        <w:t>(DFGSM2,</w:t>
      </w:r>
      <w:r>
        <w:rPr>
          <w:spacing w:val="-6"/>
          <w:w w:val="105"/>
        </w:rPr>
        <w:t> </w:t>
      </w:r>
      <w:r>
        <w:rPr>
          <w:w w:val="105"/>
        </w:rPr>
        <w:t>MA),</w:t>
      </w:r>
      <w:r>
        <w:rPr>
          <w:spacing w:val="-6"/>
          <w:w w:val="105"/>
        </w:rPr>
        <w:t> </w:t>
      </w:r>
      <w:r>
        <w:rPr>
          <w:w w:val="105"/>
        </w:rPr>
        <w:t>Mihran</w:t>
      </w:r>
      <w:r>
        <w:rPr>
          <w:spacing w:val="-6"/>
          <w:w w:val="105"/>
        </w:rPr>
        <w:t> </w:t>
      </w:r>
      <w:r>
        <w:rPr>
          <w:w w:val="105"/>
        </w:rPr>
        <w:t>FARRUGIA (DFGSO2), Léa NDOUR (DFGSM2), Benjamin PLASSART (RM SHS EB 2025-2026,</w:t>
      </w:r>
    </w:p>
    <w:p>
      <w:pPr>
        <w:pStyle w:val="BodyText"/>
        <w:spacing w:line="242" w:lineRule="auto"/>
        <w:ind w:left="261" w:right="259"/>
        <w:jc w:val="center"/>
      </w:pPr>
      <w:r>
        <w:rPr>
          <w:w w:val="105"/>
        </w:rPr>
        <w:t>DFGSM2),</w:t>
      </w:r>
      <w:r>
        <w:rPr>
          <w:spacing w:val="-3"/>
          <w:w w:val="105"/>
        </w:rPr>
        <w:t> </w:t>
      </w:r>
      <w:r>
        <w:rPr>
          <w:w w:val="105"/>
        </w:rPr>
        <w:t>Anaé</w:t>
      </w:r>
      <w:r>
        <w:rPr>
          <w:spacing w:val="-3"/>
          <w:w w:val="105"/>
        </w:rPr>
        <w:t> </w:t>
      </w:r>
      <w:r>
        <w:rPr>
          <w:w w:val="105"/>
        </w:rPr>
        <w:t>BASSIÉ</w:t>
      </w:r>
      <w:r>
        <w:rPr>
          <w:spacing w:val="-3"/>
          <w:w w:val="105"/>
        </w:rPr>
        <w:t> </w:t>
      </w:r>
      <w:r>
        <w:rPr>
          <w:w w:val="105"/>
        </w:rPr>
        <w:t>(DFGSM2,</w:t>
      </w:r>
      <w:r>
        <w:rPr>
          <w:spacing w:val="-3"/>
          <w:w w:val="105"/>
        </w:rPr>
        <w:t> </w:t>
      </w:r>
      <w:r>
        <w:rPr>
          <w:w w:val="105"/>
        </w:rPr>
        <w:t>MA</w:t>
      </w:r>
      <w:r>
        <w:rPr>
          <w:spacing w:val="-3"/>
          <w:w w:val="105"/>
        </w:rPr>
        <w:t> </w:t>
      </w:r>
      <w:r>
        <w:rPr>
          <w:w w:val="105"/>
        </w:rPr>
        <w:t>25-26),</w:t>
      </w:r>
      <w:r>
        <w:rPr>
          <w:spacing w:val="-3"/>
          <w:w w:val="105"/>
        </w:rPr>
        <w:t> </w:t>
      </w:r>
      <w:r>
        <w:rPr>
          <w:w w:val="105"/>
        </w:rPr>
        <w:t>Lina</w:t>
      </w:r>
      <w:r>
        <w:rPr>
          <w:spacing w:val="-3"/>
          <w:w w:val="105"/>
        </w:rPr>
        <w:t> </w:t>
      </w:r>
      <w:r>
        <w:rPr>
          <w:w w:val="105"/>
        </w:rPr>
        <w:t>RAHMI</w:t>
      </w:r>
      <w:r>
        <w:rPr>
          <w:spacing w:val="-3"/>
          <w:w w:val="105"/>
        </w:rPr>
        <w:t> </w:t>
      </w:r>
      <w:r>
        <w:rPr>
          <w:w w:val="105"/>
        </w:rPr>
        <w:t>(Master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Sciences</w:t>
      </w:r>
      <w:r>
        <w:rPr>
          <w:spacing w:val="-3"/>
          <w:w w:val="105"/>
        </w:rPr>
        <w:t> </w:t>
      </w:r>
      <w:r>
        <w:rPr>
          <w:w w:val="105"/>
        </w:rPr>
        <w:t>du médicament et des produits de santé)</w:t>
      </w:r>
    </w:p>
    <w:p>
      <w:pPr>
        <w:pStyle w:val="BodyText"/>
        <w:spacing w:before="59"/>
        <w:ind w:left="0"/>
      </w:pPr>
    </w:p>
    <w:p>
      <w:pPr>
        <w:pStyle w:val="Heading2"/>
        <w:spacing w:line="345" w:lineRule="exact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894" w:right="1895"/>
        <w:jc w:val="center"/>
      </w:pPr>
      <w:r>
        <w:rPr>
          <w:w w:val="105"/>
        </w:rPr>
        <w:t>Mahaut</w:t>
      </w:r>
      <w:r>
        <w:rPr>
          <w:spacing w:val="5"/>
          <w:w w:val="105"/>
        </w:rPr>
        <w:t> </w:t>
      </w:r>
      <w:r>
        <w:rPr>
          <w:w w:val="105"/>
        </w:rPr>
        <w:t>MAROUVIN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101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3"/>
        <w:ind w:left="0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97"/>
        <w:ind w:left="0"/>
      </w:pPr>
    </w:p>
    <w:p>
      <w:pPr>
        <w:pStyle w:val="Heading3"/>
        <w:ind w:left="763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Dafalgang</w:t>
      </w:r>
    </w:p>
    <w:p>
      <w:pPr>
        <w:pStyle w:val="BodyText"/>
        <w:spacing w:before="101"/>
        <w:ind w:left="0"/>
        <w:rPr>
          <w:rFonts w:ascii="Georgia"/>
          <w:b/>
        </w:rPr>
      </w:pPr>
    </w:p>
    <w:p>
      <w:pPr>
        <w:pStyle w:val="BodyText"/>
        <w:spacing w:line="242" w:lineRule="auto"/>
        <w:ind w:left="85" w:right="84"/>
        <w:jc w:val="center"/>
      </w:pPr>
      <w:r>
        <w:rPr>
          <w:w w:val="105"/>
        </w:rPr>
        <w:t>Certains schémas de ce support sont issus des diapositives des enseignants d’Université Paris </w:t>
      </w:r>
      <w:r>
        <w:rPr>
          <w:spacing w:val="-4"/>
          <w:w w:val="105"/>
        </w:rPr>
        <w:t>Cité</w:t>
      </w:r>
    </w:p>
    <w:p>
      <w:pPr>
        <w:pStyle w:val="BodyText"/>
        <w:spacing w:before="99"/>
        <w:ind w:left="0"/>
      </w:pPr>
    </w:p>
    <w:p>
      <w:pPr>
        <w:pStyle w:val="Heading3"/>
        <w:ind w:left="-1"/>
        <w:jc w:val="center"/>
      </w:pPr>
      <w:r>
        <w:rPr>
          <w:spacing w:val="-2"/>
        </w:rPr>
        <w:t>Sous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coordination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color w:val="811833"/>
          <w:spacing w:val="-2"/>
        </w:rPr>
        <w:t>Mahaut</w:t>
      </w:r>
      <w:r>
        <w:rPr>
          <w:color w:val="811833"/>
          <w:spacing w:val="1"/>
        </w:rPr>
        <w:t> </w:t>
      </w:r>
      <w:r>
        <w:rPr>
          <w:color w:val="811833"/>
          <w:spacing w:val="-2"/>
        </w:rPr>
        <w:t>MAROUVIN</w:t>
      </w:r>
      <w:r>
        <w:rPr>
          <w:color w:val="811833"/>
          <w:spacing w:val="1"/>
        </w:rPr>
        <w:t> </w:t>
      </w:r>
      <w:r>
        <w:rPr>
          <w:color w:val="811833"/>
          <w:spacing w:val="-2"/>
        </w:rPr>
        <w:t>(DFGSM2)</w:t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202"/>
        <w:ind w:left="0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3"/>
        <w:ind w:left="2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34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13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3165132</wp:posOffset>
            </wp:positionH>
            <wp:positionV relativeFrom="paragraph">
              <wp:posOffset>243718</wp:posOffset>
            </wp:positionV>
            <wp:extent cx="718756" cy="381381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3970831</wp:posOffset>
                </wp:positionH>
                <wp:positionV relativeFrom="paragraph">
                  <wp:posOffset>302812</wp:posOffset>
                </wp:positionV>
                <wp:extent cx="422909" cy="32321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3.843529pt;width:33.3pt;height:25.45pt;mso-position-horizontal-relative:page;mso-position-vertical-relative:paragraph;z-index:-15725568;mso-wrap-distance-left:0;mso-wrap-distance-right:0" id="docshapegroup30" coordorigin="6253,477" coordsize="666,509">
                <v:shape style="position:absolute;left:6257;top:480;width:658;height:501" id="docshape31" coordorigin="6257,481" coordsize="658,501" path="m6671,481l6665,504,6662,518,6622,515,6586,514,6551,515,6510,518,6508,503,6506,495,6501,481,6459,483,6387,503,6313,597,6286,666,6268,735,6259,808,6257,891,6298,918,6334,940,6372,961,6416,981,6427,965,6437,949,6445,933,6454,915,6439,909,6427,902,6415,895,6402,887,6408,882,6411,879,6416,873,6484,905,6552,921,6620,921,6688,905,6756,873,6761,879,6764,882,6770,887,6757,895,6745,902,6733,909,6718,915,6727,933,6736,949,6745,965,6756,981,6800,961,6838,940,6874,918,6915,891,6913,808,6904,735,6886,666,6860,597,6822,523,6748,498,6712,489,6671,481xe" filled="true" fillcolor="#5264e4" stroked="false">
                  <v:path arrowok="t"/>
                  <v:fill type="solid"/>
                </v:shape>
                <v:shape style="position:absolute;left:6257;top:480;width:658;height:501" id="docshape32" coordorigin="6257,481" coordsize="658,501" path="m6257,891l6298,918,6334,940,6372,961,6416,981,6427,965,6437,949,6445,933,6454,915,6439,909,6427,902,6415,895,6402,887,6408,882,6411,879,6416,873,6484,905,6552,921,6620,921,6688,905,6756,873,6761,879,6764,882,6770,887,6757,895,6745,902,6733,909,6718,915,6727,933,6736,949,6745,965,6756,981,6800,961,6838,940,6874,918,6915,891,6913,808,6904,735,6886,666,6860,597,6822,523,6748,498,6671,481,6667,495,6665,504,6662,518,6622,515,6586,514,6551,515,6510,518,6508,503,6506,495,6501,481,6459,483,6387,503,6313,597,6286,666,6268,735,6259,808,6257,891xe" filled="false" stroked="true" strokeweight=".3985pt" strokecolor="#000000">
                  <v:path arrowok="t"/>
                  <v:stroke dashstyle="solid"/>
                </v:shape>
                <v:shape style="position:absolute;left:6412;top:679;width:122;height:140" type="#_x0000_t75" id="docshape33" stroked="false">
                  <v:imagedata r:id="rId35" o:title=""/>
                </v:shape>
                <v:shape style="position:absolute;left:6638;top:679;width:122;height:140" type="#_x0000_t75" id="docshape34" stroked="false">
                  <v:imagedata r:id="rId3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36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3536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6082944" id="docshapegroup35" coordorigin="1134,114" coordsize="9638,1382">
                <v:shape style="position:absolute;left:1133;top:281;width:9638;height:1215" id="docshape36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37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38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39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40" stroked="false">
                  <v:imagedata r:id="rId37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headerReference w:type="default" r:id="rId32"/>
          <w:footerReference w:type="default" r:id="rId33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32736" id="docshapegroup41" coordorigin="1170,125" coordsize="514,514">
                <v:shape style="position:absolute;left:1171;top:127;width:511;height:511" id="docshape42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43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44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45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4560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6081920" id="docshapegroup46" coordorigin="5054,129" coordsize="511,511">
                <v:shape style="position:absolute;left:5054;top:129;width:511;height:511" type="#_x0000_t75" id="docshape47" stroked="false">
                  <v:imagedata r:id="rId38" o:title=""/>
                </v:shape>
                <v:shape style="position:absolute;left:5117;top:192;width:385;height:385" type="#_x0000_t75" id="docshape48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25.7pt;height:25.7pt;mso-position-horizontal-relative:page;mso-position-vertical-relative:paragraph;z-index:-16081408" id="docshapegroup49" coordorigin="9117,125" coordsize="514,514">
                <v:shape style="position:absolute;left:9118;top:127;width:511;height:511" id="docshape50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51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4;top:193;width:379;height:379" type="#_x0000_t75" id="docshape52" stroked="false">
                  <v:imagedata r:id="rId40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2995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6528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097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5504" type="#_x0000_t202" id="docshape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00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4480" type="#_x0000_t202" id="docshape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02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3456" type="#_x0000_t202" id="docshape1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04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2432" type="#_x0000_t202" id="docshape1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07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1408" type="#_x0000_t202" id="docshape1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09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80384" type="#_x0000_t202" id="docshape1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12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079360" type="#_x0000_t202" id="docshape1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14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8336" type="#_x0000_t202" id="docshape21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1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7312" type="#_x0000_t202" id="docshape23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19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6288" type="#_x0000_t202" id="docshape2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21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5264" type="#_x0000_t202" id="docshape2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224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074240" type="#_x0000_t202" id="docshape29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046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86016" type="#_x0000_t202" id="docshape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148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84992" type="#_x0000_t202" id="docshape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251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3"/>
                              <w:sz w:val="24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083968" type="#_x0000_t202" id="docshape1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3"/>
                        <w:sz w:val="24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353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2944" type="#_x0000_t202" id="docshape1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456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1920" type="#_x0000_t202" id="docshape1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55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80896" type="#_x0000_t202" id="docshape1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66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w w:val="95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w w:val="90"/>
                              <w:sz w:val="24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9872" type="#_x0000_t202" id="docshape1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w w:val="95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w w:val="90"/>
                        <w:sz w:val="24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76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8848" type="#_x0000_t202" id="docshape20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23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86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7824" type="#_x0000_t202" id="docshape22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396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6800" type="#_x0000_t202" id="docshape24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07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9"/>
                              <w:sz w:val="24"/>
                            </w:rPr>
                            <w:t>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5776" type="#_x0000_t202" id="docshape26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9"/>
                        <w:sz w:val="24"/>
                      </w:rPr>
                      <w:t>32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417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074752" type="#_x0000_t202" id="docshape28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5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header" Target="header4.xml"/><Relationship Id="rId15" Type="http://schemas.openxmlformats.org/officeDocument/2006/relationships/footer" Target="footer5.xml"/><Relationship Id="rId16" Type="http://schemas.openxmlformats.org/officeDocument/2006/relationships/header" Target="header5.xml"/><Relationship Id="rId17" Type="http://schemas.openxmlformats.org/officeDocument/2006/relationships/footer" Target="footer6.xml"/><Relationship Id="rId18" Type="http://schemas.openxmlformats.org/officeDocument/2006/relationships/header" Target="header6.xml"/><Relationship Id="rId19" Type="http://schemas.openxmlformats.org/officeDocument/2006/relationships/footer" Target="footer7.xml"/><Relationship Id="rId20" Type="http://schemas.openxmlformats.org/officeDocument/2006/relationships/header" Target="header7.xml"/><Relationship Id="rId21" Type="http://schemas.openxmlformats.org/officeDocument/2006/relationships/footer" Target="footer8.xml"/><Relationship Id="rId22" Type="http://schemas.openxmlformats.org/officeDocument/2006/relationships/header" Target="header8.xml"/><Relationship Id="rId23" Type="http://schemas.openxmlformats.org/officeDocument/2006/relationships/footer" Target="footer9.xml"/><Relationship Id="rId24" Type="http://schemas.openxmlformats.org/officeDocument/2006/relationships/header" Target="header9.xml"/><Relationship Id="rId25" Type="http://schemas.openxmlformats.org/officeDocument/2006/relationships/footer" Target="footer10.xml"/><Relationship Id="rId26" Type="http://schemas.openxmlformats.org/officeDocument/2006/relationships/header" Target="header10.xml"/><Relationship Id="rId27" Type="http://schemas.openxmlformats.org/officeDocument/2006/relationships/footer" Target="footer11.xml"/><Relationship Id="rId28" Type="http://schemas.openxmlformats.org/officeDocument/2006/relationships/header" Target="header11.xml"/><Relationship Id="rId29" Type="http://schemas.openxmlformats.org/officeDocument/2006/relationships/footer" Target="footer12.xml"/><Relationship Id="rId30" Type="http://schemas.openxmlformats.org/officeDocument/2006/relationships/header" Target="header12.xml"/><Relationship Id="rId31" Type="http://schemas.openxmlformats.org/officeDocument/2006/relationships/footer" Target="footer13.xml"/><Relationship Id="rId32" Type="http://schemas.openxmlformats.org/officeDocument/2006/relationships/header" Target="header13.xml"/><Relationship Id="rId33" Type="http://schemas.openxmlformats.org/officeDocument/2006/relationships/footer" Target="footer14.xml"/><Relationship Id="rId34" Type="http://schemas.openxmlformats.org/officeDocument/2006/relationships/hyperlink" Target="mailto:grilles@a2sup.fr" TargetMode="External"/><Relationship Id="rId35" Type="http://schemas.openxmlformats.org/officeDocument/2006/relationships/image" Target="media/image3.png"/><Relationship Id="rId36" Type="http://schemas.openxmlformats.org/officeDocument/2006/relationships/hyperlink" Target="https://discord.gg/mTFrNmk799" TargetMode="External"/><Relationship Id="rId37" Type="http://schemas.openxmlformats.org/officeDocument/2006/relationships/image" Target="media/image4.png"/><Relationship Id="rId38" Type="http://schemas.openxmlformats.org/officeDocument/2006/relationships/image" Target="media/image5.png"/><Relationship Id="rId39" Type="http://schemas.openxmlformats.org/officeDocument/2006/relationships/image" Target="media/image6.png"/><Relationship Id="rId40" Type="http://schemas.openxmlformats.org/officeDocument/2006/relationships/image" Target="media/image7.png"/><Relationship Id="rId4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2026-10-26T16:56:07Z</dcterms:created>
  <dcterms:modified xsi:type="dcterms:W3CDTF">2026-10-26T16:56:07Z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2026-02-07T00:00:00Z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