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58" w:rsidRPr="00E63F6F" w:rsidRDefault="00476258" w:rsidP="00476258">
      <w:pPr>
        <w:pStyle w:val="NoSpacing"/>
        <w:jc w:val="center"/>
        <w:rPr>
          <w:sz w:val="32"/>
          <w:szCs w:val="32"/>
        </w:rPr>
      </w:pPr>
      <w:r w:rsidRPr="00E63F6F">
        <w:rPr>
          <w:sz w:val="32"/>
          <w:szCs w:val="32"/>
        </w:rPr>
        <w:t xml:space="preserve">Enhancing antimicrobial surveillance: an automated, dynamic and interactive approach </w:t>
      </w:r>
      <w:r w:rsidRPr="00E63F6F">
        <w:rPr>
          <w:sz w:val="32"/>
          <w:szCs w:val="32"/>
        </w:rPr>
        <w:br/>
      </w:r>
    </w:p>
    <w:p w:rsidR="00476258" w:rsidRPr="00E63F6F" w:rsidRDefault="00476258" w:rsidP="00476258">
      <w:pPr>
        <w:pStyle w:val="NoSpacing"/>
        <w:jc w:val="center"/>
        <w:rPr>
          <w:sz w:val="24"/>
          <w:szCs w:val="24"/>
          <w:vertAlign w:val="superscript"/>
        </w:rPr>
      </w:pPr>
      <w:r w:rsidRPr="00E63F6F">
        <w:rPr>
          <w:sz w:val="24"/>
          <w:szCs w:val="24"/>
        </w:rPr>
        <w:t>Bernard Hernandez</w:t>
      </w:r>
      <w:r w:rsidRPr="00E63F6F">
        <w:rPr>
          <w:sz w:val="24"/>
          <w:szCs w:val="24"/>
          <w:vertAlign w:val="superscript"/>
        </w:rPr>
        <w:t>1</w:t>
      </w:r>
      <w:r w:rsidRPr="00E63F6F">
        <w:rPr>
          <w:sz w:val="24"/>
          <w:szCs w:val="24"/>
        </w:rPr>
        <w:t>*, Pau Herrero</w:t>
      </w:r>
      <w:r w:rsidRPr="00E63F6F">
        <w:rPr>
          <w:sz w:val="24"/>
          <w:szCs w:val="24"/>
          <w:vertAlign w:val="superscript"/>
        </w:rPr>
        <w:t>1</w:t>
      </w:r>
      <w:r w:rsidRPr="00E63F6F">
        <w:rPr>
          <w:sz w:val="24"/>
          <w:szCs w:val="24"/>
        </w:rPr>
        <w:t>, Timothy M Rawson</w:t>
      </w:r>
      <w:r w:rsidRPr="00E63F6F">
        <w:rPr>
          <w:sz w:val="24"/>
          <w:szCs w:val="24"/>
          <w:vertAlign w:val="superscript"/>
        </w:rPr>
        <w:t>2</w:t>
      </w:r>
      <w:r w:rsidRPr="00E63F6F">
        <w:rPr>
          <w:sz w:val="24"/>
          <w:szCs w:val="24"/>
        </w:rPr>
        <w:t>, Luke SP Moore</w:t>
      </w:r>
      <w:r w:rsidRPr="00E63F6F">
        <w:rPr>
          <w:sz w:val="24"/>
          <w:szCs w:val="24"/>
          <w:vertAlign w:val="superscript"/>
        </w:rPr>
        <w:t>2</w:t>
      </w:r>
      <w:r w:rsidRPr="00E63F6F">
        <w:rPr>
          <w:sz w:val="24"/>
          <w:szCs w:val="24"/>
        </w:rPr>
        <w:t xml:space="preserve">, </w:t>
      </w:r>
      <w:proofErr w:type="spellStart"/>
      <w:r w:rsidRPr="00E63F6F">
        <w:rPr>
          <w:sz w:val="24"/>
          <w:szCs w:val="24"/>
        </w:rPr>
        <w:t>Christofer</w:t>
      </w:r>
      <w:proofErr w:type="spellEnd"/>
      <w:r w:rsidRPr="00E63F6F">
        <w:rPr>
          <w:sz w:val="24"/>
          <w:szCs w:val="24"/>
        </w:rPr>
        <w:t xml:space="preserve"> Toumazou</w:t>
      </w:r>
      <w:r w:rsidRPr="00E63F6F">
        <w:rPr>
          <w:sz w:val="24"/>
          <w:szCs w:val="24"/>
          <w:vertAlign w:val="superscript"/>
        </w:rPr>
        <w:t>1</w:t>
      </w:r>
      <w:r w:rsidRPr="00E63F6F">
        <w:rPr>
          <w:sz w:val="24"/>
          <w:szCs w:val="24"/>
        </w:rPr>
        <w:t>, Alison H Holmes</w:t>
      </w:r>
      <w:r w:rsidRPr="00E63F6F">
        <w:rPr>
          <w:sz w:val="24"/>
          <w:szCs w:val="24"/>
          <w:vertAlign w:val="superscript"/>
        </w:rPr>
        <w:t>2</w:t>
      </w:r>
      <w:r w:rsidRPr="00E63F6F">
        <w:rPr>
          <w:sz w:val="24"/>
          <w:szCs w:val="24"/>
        </w:rPr>
        <w:t xml:space="preserve"> and </w:t>
      </w:r>
      <w:proofErr w:type="spellStart"/>
      <w:r w:rsidRPr="00E63F6F">
        <w:rPr>
          <w:sz w:val="24"/>
          <w:szCs w:val="24"/>
        </w:rPr>
        <w:t>Pantelis</w:t>
      </w:r>
      <w:proofErr w:type="spellEnd"/>
      <w:r w:rsidRPr="00E63F6F">
        <w:rPr>
          <w:sz w:val="24"/>
          <w:szCs w:val="24"/>
        </w:rPr>
        <w:t xml:space="preserve"> Georgiou</w:t>
      </w:r>
      <w:r w:rsidRPr="00E63F6F">
        <w:rPr>
          <w:sz w:val="24"/>
          <w:szCs w:val="24"/>
          <w:vertAlign w:val="superscript"/>
        </w:rPr>
        <w:t>1</w:t>
      </w:r>
    </w:p>
    <w:p w:rsidR="00476258" w:rsidRDefault="00476258" w:rsidP="00476258">
      <w:pPr>
        <w:pStyle w:val="NoSpacing"/>
        <w:jc w:val="center"/>
        <w:rPr>
          <w:vertAlign w:val="superscript"/>
        </w:rPr>
      </w:pPr>
    </w:p>
    <w:p w:rsidR="00476258" w:rsidRPr="00E63F6F" w:rsidRDefault="00476258" w:rsidP="00476258">
      <w:pPr>
        <w:pStyle w:val="NoSpacing"/>
        <w:jc w:val="center"/>
        <w:rPr>
          <w:sz w:val="20"/>
          <w:szCs w:val="20"/>
        </w:rPr>
      </w:pPr>
      <w:r w:rsidRPr="00E63F6F">
        <w:rPr>
          <w:sz w:val="20"/>
          <w:szCs w:val="20"/>
          <w:vertAlign w:val="superscript"/>
        </w:rPr>
        <w:t xml:space="preserve">1 </w:t>
      </w:r>
      <w:r w:rsidRPr="00E63F6F">
        <w:rPr>
          <w:sz w:val="20"/>
          <w:szCs w:val="20"/>
        </w:rPr>
        <w:t>Department of Electr</w:t>
      </w:r>
      <w:r>
        <w:rPr>
          <w:sz w:val="20"/>
          <w:szCs w:val="20"/>
        </w:rPr>
        <w:t>ical and Electronic Engineering/</w:t>
      </w:r>
      <w:r w:rsidRPr="00E63F6F">
        <w:rPr>
          <w:sz w:val="20"/>
          <w:szCs w:val="20"/>
        </w:rPr>
        <w:t>Centre for Bio-Inspired Technology, Imperial College London, London, UK</w:t>
      </w:r>
    </w:p>
    <w:p w:rsidR="00476258" w:rsidRPr="00E63F6F" w:rsidRDefault="00476258" w:rsidP="00476258">
      <w:pPr>
        <w:pStyle w:val="NoSpacing"/>
        <w:jc w:val="center"/>
        <w:rPr>
          <w:sz w:val="20"/>
          <w:szCs w:val="20"/>
        </w:rPr>
      </w:pPr>
      <w:r w:rsidRPr="00E63F6F">
        <w:rPr>
          <w:sz w:val="20"/>
          <w:szCs w:val="20"/>
          <w:vertAlign w:val="superscript"/>
        </w:rPr>
        <w:t>2</w:t>
      </w:r>
      <w:r w:rsidRPr="00E63F6F">
        <w:rPr>
          <w:sz w:val="20"/>
          <w:szCs w:val="20"/>
        </w:rPr>
        <w:t>Department of Medicine/Health Protection Unit in Healthcare Associated Infections and Antimicrobial Resistance, Imperial College London, London, UK</w:t>
      </w:r>
    </w:p>
    <w:p w:rsidR="00476258" w:rsidRPr="0007511A" w:rsidRDefault="00476258" w:rsidP="00476258">
      <w:pPr>
        <w:pStyle w:val="NoSpacing"/>
        <w:jc w:val="center"/>
      </w:pPr>
    </w:p>
    <w:p w:rsidR="00476258" w:rsidRPr="00DC7CBF" w:rsidRDefault="00476258" w:rsidP="00476258">
      <w:pPr>
        <w:rPr>
          <w:b/>
        </w:rPr>
      </w:pPr>
      <w:r w:rsidRPr="00DC7CBF">
        <w:rPr>
          <w:b/>
        </w:rPr>
        <w:t>Background</w:t>
      </w:r>
      <w:r>
        <w:rPr>
          <w:b/>
        </w:rPr>
        <w:t xml:space="preserve"> </w:t>
      </w:r>
      <w:r w:rsidR="00197AC2">
        <w:rPr>
          <w:b/>
        </w:rPr>
        <w:t>(87</w:t>
      </w:r>
      <w:r>
        <w:rPr>
          <w:b/>
        </w:rPr>
        <w:t>)</w:t>
      </w:r>
    </w:p>
    <w:p w:rsidR="00383D01" w:rsidRDefault="00476258" w:rsidP="00383D01">
      <w:pPr>
        <w:pStyle w:val="NoSpacing"/>
        <w:jc w:val="both"/>
      </w:pPr>
      <w:r>
        <w:t xml:space="preserve">Antimicrobial resistance (AMR) is a global patient safety issue, which is threatening our ability to treat common infectious diseases. </w:t>
      </w:r>
      <w:r w:rsidR="0000212E">
        <w:t>There is an</w:t>
      </w:r>
      <w:r w:rsidR="00F1521A">
        <w:t xml:space="preserve"> emerging </w:t>
      </w:r>
      <w:r w:rsidR="00991C80">
        <w:t>interest in the potential secondary use of electronic clinical records to inform therapy decisions, asse</w:t>
      </w:r>
      <w:r w:rsidR="00991C80">
        <w:t>s</w:t>
      </w:r>
      <w:r w:rsidR="00991C80">
        <w:t>s consequences of antimicrobial misuse and develop/evaluate antimicrobial stewardship programs to tackle AMR.</w:t>
      </w:r>
      <w:r w:rsidR="00A35960">
        <w:t xml:space="preserve"> In </w:t>
      </w:r>
      <w:r w:rsidR="00383D01">
        <w:t>this paper, to complement the common antimicrobia</w:t>
      </w:r>
      <w:r w:rsidR="009C15CC">
        <w:t>l resistance index</w:t>
      </w:r>
      <w:r w:rsidR="0000212E">
        <w:t>,</w:t>
      </w:r>
      <w:r w:rsidR="009C15CC">
        <w:t xml:space="preserve"> we</w:t>
      </w:r>
      <w:r w:rsidR="00383D01">
        <w:t xml:space="preserve"> present a method to quantify</w:t>
      </w:r>
      <w:r w:rsidR="00A35960">
        <w:t xml:space="preserve"> numerically </w:t>
      </w:r>
      <w:r w:rsidR="00383D01">
        <w:t xml:space="preserve">antimicrobial </w:t>
      </w:r>
      <w:r w:rsidR="00A35960">
        <w:t>resistance trends</w:t>
      </w:r>
      <w:r w:rsidR="00383D01">
        <w:t xml:space="preserve">. </w:t>
      </w:r>
      <w:r w:rsidR="00383D01">
        <w:t>A portable, dynamic and interactive visualization tool facilitate</w:t>
      </w:r>
      <w:r w:rsidR="009C15CC">
        <w:t>s</w:t>
      </w:r>
      <w:r w:rsidR="00383D01">
        <w:t xml:space="preserve"> data exploration and comprehensive reporting among clinicians and policy makers.</w:t>
      </w:r>
    </w:p>
    <w:p w:rsidR="00476258" w:rsidRDefault="00476258" w:rsidP="00476258">
      <w:pPr>
        <w:pStyle w:val="NoSpacing"/>
        <w:jc w:val="both"/>
      </w:pPr>
    </w:p>
    <w:p w:rsidR="00476258" w:rsidRPr="00DC7CBF" w:rsidRDefault="00476258" w:rsidP="00476258">
      <w:pPr>
        <w:rPr>
          <w:b/>
        </w:rPr>
      </w:pPr>
      <w:r w:rsidRPr="00DC7CBF">
        <w:rPr>
          <w:b/>
        </w:rPr>
        <w:t>Methods and Materials</w:t>
      </w:r>
      <w:r>
        <w:rPr>
          <w:b/>
        </w:rPr>
        <w:t xml:space="preserve"> </w:t>
      </w:r>
      <w:r w:rsidR="00E75F3A">
        <w:rPr>
          <w:b/>
        </w:rPr>
        <w:t>(86</w:t>
      </w:r>
      <w:r>
        <w:rPr>
          <w:b/>
        </w:rPr>
        <w:t>)</w:t>
      </w:r>
    </w:p>
    <w:p w:rsidR="00894255" w:rsidRDefault="00894255" w:rsidP="00476258">
      <w:pPr>
        <w:pStyle w:val="NoSpacing"/>
        <w:jc w:val="both"/>
      </w:pPr>
      <w:r>
        <w:t>Rather than restricting the examination of AMR to particular microorganisms, automated analysis of over 3.5 million susceptibility tests was undertaken.</w:t>
      </w:r>
      <w:r w:rsidR="008B3626">
        <w:t xml:space="preserve"> </w:t>
      </w:r>
      <w:r w:rsidR="00CD3730">
        <w:t>Data were</w:t>
      </w:r>
      <w:r w:rsidR="008B3626">
        <w:t xml:space="preserve"> divided by culture </w:t>
      </w:r>
      <w:r w:rsidR="002208D5">
        <w:t xml:space="preserve">(e.g. urine) </w:t>
      </w:r>
      <w:r w:rsidR="00242582">
        <w:t>and</w:t>
      </w:r>
      <w:r w:rsidR="008F0BC0">
        <w:t xml:space="preserve"> combination </w:t>
      </w:r>
      <w:r w:rsidR="00242582">
        <w:t>(</w:t>
      </w:r>
      <w:r w:rsidR="008F0BC0">
        <w:t>organism-antibiotic</w:t>
      </w:r>
      <w:r w:rsidR="00242582">
        <w:t>)</w:t>
      </w:r>
      <w:r w:rsidR="008F0BC0">
        <w:t>.</w:t>
      </w:r>
      <w:r w:rsidR="008B3626">
        <w:t xml:space="preserve"> </w:t>
      </w:r>
      <w:r w:rsidR="00887540">
        <w:t>To generate the resistance time series, t</w:t>
      </w:r>
      <w:r w:rsidR="002208D5">
        <w:t xml:space="preserve">he </w:t>
      </w:r>
      <w:r w:rsidR="008B3626">
        <w:t>pr</w:t>
      </w:r>
      <w:r w:rsidR="002208D5">
        <w:t>oportion of resistant isolates at independent time intervals</w:t>
      </w:r>
      <w:r w:rsidR="00887540">
        <w:t xml:space="preserve"> was use</w:t>
      </w:r>
      <w:r w:rsidR="002208D5">
        <w:t>.</w:t>
      </w:r>
      <w:r w:rsidR="00B27E49">
        <w:t xml:space="preserve"> Additionally, </w:t>
      </w:r>
      <w:r w:rsidR="00AF7672">
        <w:t>overlapping time interval</w:t>
      </w:r>
      <w:r w:rsidR="00B27E49">
        <w:t xml:space="preserve">s (through sliding-time windows) </w:t>
      </w:r>
      <w:r w:rsidR="00B27E49">
        <w:t>were</w:t>
      </w:r>
      <w:r w:rsidR="00B27E49">
        <w:t xml:space="preserve"> used to generate smoothed</w:t>
      </w:r>
      <w:r w:rsidR="00AF7672">
        <w:t xml:space="preserve"> time-series for comparison. Finally, ordinary/weighted linear regression and autoregressive integ</w:t>
      </w:r>
      <w:r w:rsidR="00887540">
        <w:t>rated moving average (ARIMA) were</w:t>
      </w:r>
      <w:r w:rsidR="00AF7672">
        <w:t xml:space="preserve"> applied on the time-series to quantify resistance trends.</w:t>
      </w:r>
    </w:p>
    <w:p w:rsidR="00894255" w:rsidRDefault="00894255" w:rsidP="00476258">
      <w:pPr>
        <w:pStyle w:val="NoSpacing"/>
        <w:jc w:val="both"/>
      </w:pPr>
    </w:p>
    <w:p w:rsidR="00452440" w:rsidRDefault="00476258" w:rsidP="00452440">
      <w:pPr>
        <w:autoSpaceDE w:val="0"/>
        <w:autoSpaceDN w:val="0"/>
        <w:adjustRightInd w:val="0"/>
        <w:spacing w:after="0" w:line="240" w:lineRule="auto"/>
      </w:pPr>
      <w:r w:rsidRPr="00DC7CBF">
        <w:rPr>
          <w:b/>
        </w:rPr>
        <w:t>Results</w:t>
      </w:r>
      <w:r w:rsidR="00A565FD">
        <w:rPr>
          <w:b/>
        </w:rPr>
        <w:t xml:space="preserve"> (179</w:t>
      </w:r>
      <w:r>
        <w:rPr>
          <w:b/>
        </w:rPr>
        <w:t>)</w:t>
      </w:r>
      <w:r>
        <w:rPr>
          <w:b/>
        </w:rPr>
        <w:br/>
      </w:r>
    </w:p>
    <w:p w:rsidR="00135BBC" w:rsidRDefault="00452440" w:rsidP="00476258">
      <w:pPr>
        <w:pStyle w:val="NoSpacing"/>
        <w:jc w:val="both"/>
      </w:pPr>
      <w:r>
        <w:t xml:space="preserve">Firstly, </w:t>
      </w:r>
      <w:r>
        <w:rPr>
          <w:rFonts w:cs="Arial"/>
          <w:color w:val="000000" w:themeColor="text1"/>
          <w:shd w:val="clear" w:color="auto" w:fill="FFFFFF"/>
        </w:rPr>
        <w:t>it is worth mentioning that a</w:t>
      </w:r>
      <w:r w:rsidRPr="003D3AD8">
        <w:rPr>
          <w:rFonts w:cs="Arial"/>
          <w:color w:val="000000" w:themeColor="text1"/>
          <w:shd w:val="clear" w:color="auto" w:fill="FFFFFF"/>
        </w:rPr>
        <w:t>pproximately half of the susceptibility tests correspond exclusively to </w:t>
      </w:r>
      <w:r w:rsidRPr="003D3AD8">
        <w:rPr>
          <w:rStyle w:val="Emphasis"/>
          <w:rFonts w:cs="Arial"/>
          <w:color w:val="000000" w:themeColor="text1"/>
          <w:shd w:val="clear" w:color="auto" w:fill="FFFFFF"/>
        </w:rPr>
        <w:t>Streptococcus Aureus</w:t>
      </w:r>
      <w:r w:rsidRPr="003D3AD8">
        <w:rPr>
          <w:rFonts w:cs="Arial"/>
          <w:color w:val="000000" w:themeColor="text1"/>
          <w:shd w:val="clear" w:color="auto" w:fill="FFFFFF"/>
        </w:rPr>
        <w:t> and </w:t>
      </w:r>
      <w:r w:rsidRPr="003D3AD8">
        <w:rPr>
          <w:rStyle w:val="Emphasis"/>
          <w:rFonts w:cs="Arial"/>
          <w:color w:val="000000" w:themeColor="text1"/>
          <w:shd w:val="clear" w:color="auto" w:fill="FFFFFF"/>
        </w:rPr>
        <w:t>Escherichia Coli</w:t>
      </w:r>
      <w:r w:rsidRPr="003D3AD8">
        <w:rPr>
          <w:rFonts w:cs="Arial"/>
          <w:color w:val="000000" w:themeColor="text1"/>
          <w:shd w:val="clear" w:color="auto" w:fill="FFFFFF"/>
        </w:rPr>
        <w:t xml:space="preserve">, revealing a clear </w:t>
      </w:r>
      <w:r>
        <w:rPr>
          <w:rFonts w:cs="Arial"/>
          <w:color w:val="000000" w:themeColor="text1"/>
          <w:shd w:val="clear" w:color="auto" w:fill="FFFFFF"/>
        </w:rPr>
        <w:t>over-testing tendency on existing guidelines.</w:t>
      </w:r>
      <w:r w:rsidR="004D7A48">
        <w:rPr>
          <w:rFonts w:cs="Arial"/>
          <w:color w:val="000000" w:themeColor="text1"/>
          <w:shd w:val="clear" w:color="auto" w:fill="FFFFFF"/>
        </w:rPr>
        <w:t xml:space="preserve"> </w:t>
      </w:r>
      <w:r w:rsidR="00135BBC">
        <w:t xml:space="preserve">Ordinary linear regression </w:t>
      </w:r>
      <w:r w:rsidR="004D7A48">
        <w:t xml:space="preserve">is </w:t>
      </w:r>
      <w:r w:rsidR="00135BBC">
        <w:t xml:space="preserve">greatly affected by outliers </w:t>
      </w:r>
      <w:r w:rsidR="00DB24B3">
        <w:t xml:space="preserve">often produced when resistance indexes are computed with </w:t>
      </w:r>
      <w:r w:rsidR="00135BBC">
        <w:t xml:space="preserve">an insufficient number of observations. </w:t>
      </w:r>
      <w:r w:rsidR="00F5021A">
        <w:t>By applying</w:t>
      </w:r>
      <w:r w:rsidR="00A37CE0">
        <w:t xml:space="preserve"> </w:t>
      </w:r>
      <w:r w:rsidR="00DB24B3">
        <w:t xml:space="preserve">weighted linear regression </w:t>
      </w:r>
      <w:r w:rsidR="00A37CE0">
        <w:t>it is possible to reduce</w:t>
      </w:r>
      <w:r w:rsidR="00DB24B3">
        <w:t xml:space="preserve"> the influence of those outliers</w:t>
      </w:r>
      <w:r w:rsidR="00F5021A">
        <w:t xml:space="preserve"> to obtain more robust trends</w:t>
      </w:r>
      <w:r w:rsidR="00DB24B3">
        <w:t xml:space="preserve">. </w:t>
      </w:r>
    </w:p>
    <w:p w:rsidR="00476258" w:rsidRPr="00186951" w:rsidRDefault="00F63AA3" w:rsidP="003A15F9">
      <w:pPr>
        <w:pStyle w:val="NoSpacing"/>
        <w:jc w:val="both"/>
      </w:pPr>
      <w:r>
        <w:t xml:space="preserve">Despite </w:t>
      </w:r>
      <w:r w:rsidR="004D7A48">
        <w:rPr>
          <w:rFonts w:cs="Arial"/>
          <w:color w:val="000000" w:themeColor="text1"/>
          <w:shd w:val="clear" w:color="auto" w:fill="FFFFFF"/>
        </w:rPr>
        <w:t>being the most advance</w:t>
      </w:r>
      <w:r w:rsidR="00795B19">
        <w:rPr>
          <w:rFonts w:cs="Arial"/>
          <w:color w:val="000000" w:themeColor="text1"/>
          <w:shd w:val="clear" w:color="auto" w:fill="FFFFFF"/>
        </w:rPr>
        <w:t>d</w:t>
      </w:r>
      <w:r w:rsidR="004D7A48">
        <w:rPr>
          <w:rFonts w:cs="Arial"/>
          <w:color w:val="000000" w:themeColor="text1"/>
          <w:shd w:val="clear" w:color="auto" w:fill="FFFFFF"/>
        </w:rPr>
        <w:t xml:space="preserve"> model,</w:t>
      </w:r>
      <w:r w:rsidR="004D7A48">
        <w:t xml:space="preserve"> ARIMA </w:t>
      </w:r>
      <w:r w:rsidR="004D7A48">
        <w:t>is not successful at quantifying small resistance trends</w:t>
      </w:r>
      <w:r w:rsidR="00841BC6">
        <w:t xml:space="preserve"> since they are generally</w:t>
      </w:r>
      <w:r w:rsidR="004D7A48">
        <w:t xml:space="preserve"> modelled as noise</w:t>
      </w:r>
      <w:r>
        <w:t>. Furthermore</w:t>
      </w:r>
      <w:r w:rsidR="0053184E">
        <w:t>,</w:t>
      </w:r>
      <w:r>
        <w:t xml:space="preserve"> the</w:t>
      </w:r>
      <w:r w:rsidR="0053184E">
        <w:t xml:space="preserve"> large </w:t>
      </w:r>
      <w:r w:rsidR="001858ED">
        <w:t xml:space="preserve">variations present </w:t>
      </w:r>
      <w:proofErr w:type="gramStart"/>
      <w:r w:rsidR="001858ED">
        <w:t xml:space="preserve">in </w:t>
      </w:r>
      <w:r w:rsidR="008D7719">
        <w:t xml:space="preserve"> such</w:t>
      </w:r>
      <w:proofErr w:type="gramEnd"/>
      <w:r w:rsidR="008D7719">
        <w:t xml:space="preserve"> model estimations</w:t>
      </w:r>
      <w:r w:rsidR="001858ED">
        <w:t xml:space="preserve"> suggest</w:t>
      </w:r>
      <w:r w:rsidR="0053184E">
        <w:t xml:space="preserve"> that models are</w:t>
      </w:r>
      <w:r>
        <w:t xml:space="preserve"> </w:t>
      </w:r>
      <w:r w:rsidR="0053184E">
        <w:t>over-</w:t>
      </w:r>
      <w:r w:rsidR="00D9365B">
        <w:t>fitting</w:t>
      </w:r>
      <w:r>
        <w:t xml:space="preserve"> external </w:t>
      </w:r>
      <w:r w:rsidR="0053184E">
        <w:t>effects</w:t>
      </w:r>
      <w:r w:rsidR="00D9365B">
        <w:t xml:space="preserve"> instead of focusing on the resistance evolution itself</w:t>
      </w:r>
      <w:r>
        <w:t>.</w:t>
      </w:r>
      <w:r w:rsidR="00186951">
        <w:t xml:space="preserve"> On the other side, t</w:t>
      </w:r>
      <w:r w:rsidR="008F364D">
        <w:t xml:space="preserve">he use of overlapping time intervals on the raw susceptibility tests </w:t>
      </w:r>
      <w:r w:rsidR="00AF7672">
        <w:t>drops the dependence between granularity and accuracy of traditional surveillance</w:t>
      </w:r>
      <w:r w:rsidR="003A15F9">
        <w:t xml:space="preserve"> and </w:t>
      </w:r>
      <w:r w:rsidR="008F364D">
        <w:t>produce</w:t>
      </w:r>
      <w:r w:rsidR="003A15F9">
        <w:t>s</w:t>
      </w:r>
      <w:r w:rsidR="008F364D">
        <w:t xml:space="preserve"> visually more pleasant time-series</w:t>
      </w:r>
      <w:r w:rsidR="003A15F9">
        <w:t xml:space="preserve">. In addition, it computes </w:t>
      </w:r>
      <w:r w:rsidR="001D023B">
        <w:t>statistically significant trends (p-value&lt;0.05)</w:t>
      </w:r>
      <w:r w:rsidR="008F364D">
        <w:t xml:space="preserve"> for a larger amount o</w:t>
      </w:r>
      <w:r w:rsidR="00991C7D">
        <w:t>f combinations (increase by 40</w:t>
      </w:r>
      <w:r w:rsidR="00135BBC">
        <w:t xml:space="preserve">%) </w:t>
      </w:r>
      <w:r w:rsidR="00B06E82">
        <w:t>and they</w:t>
      </w:r>
      <w:r w:rsidR="00135BBC">
        <w:t xml:space="preserve"> are consistent to those obtained for independent time intervals</w:t>
      </w:r>
      <w:r w:rsidR="00F13F0B">
        <w:t xml:space="preserve">. The combination of </w:t>
      </w:r>
      <w:r w:rsidR="003A15F9">
        <w:t>weighted linear regression</w:t>
      </w:r>
      <w:r w:rsidR="00F13F0B">
        <w:t xml:space="preserve"> and overlapping time windows</w:t>
      </w:r>
      <w:r w:rsidR="003A15F9">
        <w:t xml:space="preserve"> </w:t>
      </w:r>
      <w:r w:rsidR="00E55311">
        <w:t>is the most suitable approach to quantify resistance trends</w:t>
      </w:r>
      <w:r w:rsidR="003A15F9">
        <w:t>.</w:t>
      </w:r>
      <w:r w:rsidR="00476258" w:rsidRPr="003D3AD8">
        <w:rPr>
          <w:rFonts w:cs="Arial"/>
          <w:color w:val="000000" w:themeColor="text1"/>
          <w:shd w:val="clear" w:color="auto" w:fill="FFFFFF"/>
        </w:rPr>
        <w:t xml:space="preserve"> </w:t>
      </w:r>
    </w:p>
    <w:p w:rsidR="00E55311" w:rsidRDefault="00E55311" w:rsidP="00476258">
      <w:pPr>
        <w:pStyle w:val="NoSpacing"/>
        <w:jc w:val="both"/>
        <w:rPr>
          <w:b/>
        </w:rPr>
      </w:pPr>
    </w:p>
    <w:p w:rsidR="00476258" w:rsidRDefault="00476258" w:rsidP="00476258">
      <w:pPr>
        <w:pStyle w:val="NoSpacing"/>
        <w:jc w:val="both"/>
        <w:rPr>
          <w:b/>
        </w:rPr>
      </w:pPr>
      <w:r w:rsidRPr="00DC7CBF">
        <w:rPr>
          <w:b/>
        </w:rPr>
        <w:t>Conclusion</w:t>
      </w:r>
      <w:r>
        <w:rPr>
          <w:b/>
        </w:rPr>
        <w:t xml:space="preserve"> (70)</w:t>
      </w:r>
    </w:p>
    <w:p w:rsidR="00476258" w:rsidRPr="00D304ED" w:rsidRDefault="00476258" w:rsidP="00476258">
      <w:pPr>
        <w:pStyle w:val="NoSpacing"/>
        <w:jc w:val="both"/>
      </w:pPr>
    </w:p>
    <w:p w:rsidR="00476258" w:rsidRDefault="00476258" w:rsidP="00476258">
      <w:pPr>
        <w:pStyle w:val="NoSpacing"/>
        <w:jc w:val="both"/>
      </w:pPr>
      <w:r>
        <w:lastRenderedPageBreak/>
        <w:t>Surveillance is the cornerstone for assessing the burden of AMR. Insights extracted from this s</w:t>
      </w:r>
      <w:r w:rsidR="001A1310">
        <w:t>tudy</w:t>
      </w:r>
      <w:r>
        <w:t xml:space="preserve"> should be considered to enhance existing guidelines and strengthen AMR knowledge, especially in situations with sparse data where local directions are required. This system is being integrated into a clinical decision support system (Enhance Personalize and Integrated Care for Infec</w:t>
      </w:r>
      <w:bookmarkStart w:id="0" w:name="_GoBack"/>
      <w:bookmarkEnd w:id="0"/>
      <w:r>
        <w:t>tion Management at Point of Care - EPIC IMPOC) with great potential to revamp prescription practices.</w:t>
      </w:r>
    </w:p>
    <w:p w:rsidR="008C0492" w:rsidRDefault="008C0492"/>
    <w:sectPr w:rsidR="008C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5"/>
    <w:rsid w:val="0000212E"/>
    <w:rsid w:val="00135BBC"/>
    <w:rsid w:val="001858ED"/>
    <w:rsid w:val="00186951"/>
    <w:rsid w:val="00197AC2"/>
    <w:rsid w:val="001A1310"/>
    <w:rsid w:val="001D023B"/>
    <w:rsid w:val="002208D5"/>
    <w:rsid w:val="00242582"/>
    <w:rsid w:val="00383D01"/>
    <w:rsid w:val="003A15F9"/>
    <w:rsid w:val="00452440"/>
    <w:rsid w:val="00476258"/>
    <w:rsid w:val="004D7A48"/>
    <w:rsid w:val="0053184E"/>
    <w:rsid w:val="00795B19"/>
    <w:rsid w:val="00841BC6"/>
    <w:rsid w:val="00887540"/>
    <w:rsid w:val="00894255"/>
    <w:rsid w:val="008B3626"/>
    <w:rsid w:val="008C0492"/>
    <w:rsid w:val="008D7719"/>
    <w:rsid w:val="008F0BC0"/>
    <w:rsid w:val="008F364D"/>
    <w:rsid w:val="00935EA5"/>
    <w:rsid w:val="00991C7D"/>
    <w:rsid w:val="00991C80"/>
    <w:rsid w:val="009C15CC"/>
    <w:rsid w:val="00A35960"/>
    <w:rsid w:val="00A37CE0"/>
    <w:rsid w:val="00A565FD"/>
    <w:rsid w:val="00AF7672"/>
    <w:rsid w:val="00B06E82"/>
    <w:rsid w:val="00B27E49"/>
    <w:rsid w:val="00CA10D7"/>
    <w:rsid w:val="00CD3730"/>
    <w:rsid w:val="00D9365B"/>
    <w:rsid w:val="00DB24B3"/>
    <w:rsid w:val="00E55311"/>
    <w:rsid w:val="00E75F3A"/>
    <w:rsid w:val="00EF0271"/>
    <w:rsid w:val="00F13F0B"/>
    <w:rsid w:val="00F1521A"/>
    <w:rsid w:val="00F5021A"/>
    <w:rsid w:val="00F63AA3"/>
    <w:rsid w:val="00F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25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762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25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76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Henandez Perez, Bernard</dc:creator>
  <cp:keywords/>
  <dc:description/>
  <cp:lastModifiedBy>Henandez Perez, Bernard</cp:lastModifiedBy>
  <cp:revision>38</cp:revision>
  <dcterms:created xsi:type="dcterms:W3CDTF">2018-02-19T17:08:00Z</dcterms:created>
  <dcterms:modified xsi:type="dcterms:W3CDTF">2018-02-19T19:20:00Z</dcterms:modified>
</cp:coreProperties>
</file>