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0BFC" w14:textId="4B305E5A" w:rsidR="00B65909" w:rsidRPr="00942537" w:rsidRDefault="00B65909" w:rsidP="00B65909">
      <w:pPr>
        <w:jc w:val="center"/>
        <w:rPr>
          <w:b/>
          <w:bCs/>
          <w:sz w:val="24"/>
          <w:szCs w:val="24"/>
        </w:rPr>
      </w:pPr>
      <w:r w:rsidRPr="00942537">
        <w:rPr>
          <w:b/>
          <w:bCs/>
          <w:sz w:val="24"/>
          <w:szCs w:val="24"/>
        </w:rPr>
        <w:t>A human-centred design approach towards development of a digital clinical decision-support system for management of hospitalised patients with dengue</w:t>
      </w:r>
    </w:p>
    <w:p w14:paraId="0F08B65A" w14:textId="1E3906B9" w:rsidR="00B65909" w:rsidRPr="00482230" w:rsidRDefault="00747CE5" w:rsidP="00B65909">
      <w:r w:rsidRPr="00482230">
        <w:t>Hernandez B</w:t>
      </w:r>
      <w:r w:rsidR="00B65909" w:rsidRPr="00482230">
        <w:rPr>
          <w:vertAlign w:val="superscript"/>
        </w:rPr>
        <w:t>1</w:t>
      </w:r>
      <w:r>
        <w:rPr>
          <w:vertAlign w:val="superscript"/>
        </w:rPr>
        <w:t>,2</w:t>
      </w:r>
      <w:r w:rsidR="00B65909" w:rsidRPr="00482230">
        <w:t>,</w:t>
      </w:r>
      <w:r w:rsidR="007D4177">
        <w:t xml:space="preserve"> </w:t>
      </w:r>
      <w:r w:rsidRPr="00482230">
        <w:t>Ming DK</w:t>
      </w:r>
      <w:r w:rsidRPr="00482230">
        <w:rPr>
          <w:vertAlign w:val="superscript"/>
        </w:rPr>
        <w:t xml:space="preserve"> </w:t>
      </w:r>
      <w:r w:rsidR="007D4177" w:rsidRPr="00482230">
        <w:rPr>
          <w:vertAlign w:val="superscript"/>
        </w:rPr>
        <w:t>2</w:t>
      </w:r>
      <w:r w:rsidR="007D4177" w:rsidRPr="00482230">
        <w:t>,</w:t>
      </w:r>
      <w:r w:rsidR="00B65909" w:rsidRPr="00482230">
        <w:t xml:space="preserve"> </w:t>
      </w:r>
      <w:r w:rsidRPr="00482230">
        <w:t>Chanh HQ</w:t>
      </w:r>
      <w:r w:rsidRPr="00482230">
        <w:rPr>
          <w:vertAlign w:val="superscript"/>
        </w:rPr>
        <w:t>3</w:t>
      </w:r>
      <w:r>
        <w:t>, H</w:t>
      </w:r>
      <w:r w:rsidR="00B65909" w:rsidRPr="00482230">
        <w:t>uy NQ</w:t>
      </w:r>
      <w:r w:rsidR="00B65909" w:rsidRPr="00482230">
        <w:rPr>
          <w:vertAlign w:val="superscript"/>
        </w:rPr>
        <w:t>3</w:t>
      </w:r>
      <w:r w:rsidR="00B65909" w:rsidRPr="00482230">
        <w:t>, An LP</w:t>
      </w:r>
      <w:r w:rsidR="00B65909" w:rsidRPr="00482230">
        <w:rPr>
          <w:vertAlign w:val="superscript"/>
        </w:rPr>
        <w:t>3</w:t>
      </w:r>
      <w:r w:rsidR="00B65909" w:rsidRPr="00482230">
        <w:t xml:space="preserve">, </w:t>
      </w:r>
      <w:r w:rsidR="00AF6EAF">
        <w:t>Tam DTH</w:t>
      </w:r>
      <w:r w:rsidR="00AF6EAF" w:rsidRPr="00AF6EAF">
        <w:rPr>
          <w:vertAlign w:val="superscript"/>
        </w:rPr>
        <w:t>3</w:t>
      </w:r>
      <w:r w:rsidR="00AF6EAF">
        <w:t xml:space="preserve">, </w:t>
      </w:r>
      <w:r w:rsidR="002A6BFE">
        <w:t>Trieu HT</w:t>
      </w:r>
      <w:r w:rsidR="002A6BFE" w:rsidRPr="002A6BFE">
        <w:rPr>
          <w:vertAlign w:val="superscript"/>
        </w:rPr>
        <w:t>3</w:t>
      </w:r>
      <w:r w:rsidR="002A6BFE">
        <w:t xml:space="preserve">, </w:t>
      </w:r>
      <w:r w:rsidR="00A153C1" w:rsidRPr="00482230">
        <w:t>Chris Paton</w:t>
      </w:r>
      <w:r w:rsidR="00A62600">
        <w:rPr>
          <w:vertAlign w:val="superscript"/>
        </w:rPr>
        <w:t>4</w:t>
      </w:r>
      <w:r w:rsidR="0027616F">
        <w:rPr>
          <w:vertAlign w:val="superscript"/>
        </w:rPr>
        <w:t>,</w:t>
      </w:r>
      <w:r w:rsidR="00A62600">
        <w:rPr>
          <w:vertAlign w:val="superscript"/>
        </w:rPr>
        <w:t>5</w:t>
      </w:r>
      <w:r w:rsidR="00A153C1" w:rsidRPr="00482230">
        <w:t xml:space="preserve">, </w:t>
      </w:r>
      <w:r w:rsidR="00B65909" w:rsidRPr="00482230">
        <w:t>Holmes AH</w:t>
      </w:r>
      <w:r w:rsidR="00B65909" w:rsidRPr="00482230">
        <w:rPr>
          <w:vertAlign w:val="superscript"/>
        </w:rPr>
        <w:t>1</w:t>
      </w:r>
      <w:r w:rsidR="00B65909" w:rsidRPr="00482230">
        <w:t>, Yacoub S</w:t>
      </w:r>
      <w:r w:rsidR="00B65909" w:rsidRPr="00482230">
        <w:rPr>
          <w:vertAlign w:val="superscript"/>
        </w:rPr>
        <w:t>3,</w:t>
      </w:r>
      <w:r w:rsidR="00A62600">
        <w:rPr>
          <w:vertAlign w:val="superscript"/>
        </w:rPr>
        <w:t>4</w:t>
      </w:r>
      <w:r>
        <w:t xml:space="preserve">, </w:t>
      </w:r>
      <w:r w:rsidRPr="00482230">
        <w:t>Georgiou P</w:t>
      </w:r>
      <w:r w:rsidR="00014909">
        <w:rPr>
          <w:vertAlign w:val="superscript"/>
        </w:rPr>
        <w:t>2</w:t>
      </w:r>
      <w:r w:rsidRPr="00482230">
        <w:t xml:space="preserve"> </w:t>
      </w:r>
      <w:r w:rsidR="00B65909" w:rsidRPr="00482230">
        <w:t>on behalf of the Vietnam ICU Translational Applications Laboratory (VITAL) investigators</w:t>
      </w:r>
    </w:p>
    <w:p w14:paraId="4E460E41" w14:textId="77777777" w:rsidR="00B65909" w:rsidRPr="00482230" w:rsidRDefault="00B65909" w:rsidP="00B65909">
      <w:r w:rsidRPr="00482230">
        <w:rPr>
          <w:vertAlign w:val="superscript"/>
        </w:rPr>
        <w:t>1</w:t>
      </w:r>
      <w:r w:rsidRPr="00482230">
        <w:t xml:space="preserve"> Centre for Antimicrobial Optimisation, Imperial College London, United Kingdom</w:t>
      </w:r>
    </w:p>
    <w:p w14:paraId="709DC08E" w14:textId="58E8AF62" w:rsidR="00B65909" w:rsidRPr="00482230" w:rsidRDefault="00B65909" w:rsidP="00B65909">
      <w:r w:rsidRPr="00482230">
        <w:rPr>
          <w:vertAlign w:val="superscript"/>
        </w:rPr>
        <w:t>2</w:t>
      </w:r>
      <w:r w:rsidRPr="00482230">
        <w:t xml:space="preserve"> Centre for Bio</w:t>
      </w:r>
      <w:r w:rsidR="00747CE5">
        <w:t>-</w:t>
      </w:r>
      <w:r w:rsidRPr="00482230">
        <w:t>Inspired Technology, Imperial College London, United Kingdom</w:t>
      </w:r>
    </w:p>
    <w:p w14:paraId="7B6825C7" w14:textId="77777777" w:rsidR="00A62600" w:rsidRDefault="00B65909" w:rsidP="00B65909">
      <w:r w:rsidRPr="00482230">
        <w:rPr>
          <w:vertAlign w:val="superscript"/>
        </w:rPr>
        <w:t xml:space="preserve">3 </w:t>
      </w:r>
      <w:r w:rsidRPr="00482230">
        <w:t>Oxford University Clinical Research Unit, Vietnam</w:t>
      </w:r>
    </w:p>
    <w:p w14:paraId="56CB3F3E" w14:textId="399C7D8A" w:rsidR="00B65909" w:rsidRDefault="00A62600" w:rsidP="00B65909">
      <w:r>
        <w:rPr>
          <w:vertAlign w:val="superscript"/>
        </w:rPr>
        <w:t>4</w:t>
      </w:r>
      <w:r w:rsidR="00AF6EAF">
        <w:t xml:space="preserve"> </w:t>
      </w:r>
      <w:r w:rsidR="00B65909" w:rsidRPr="00482230">
        <w:t>Centre for Tropical Medicine and Global Health, University of Oxford, United Kingdom</w:t>
      </w:r>
    </w:p>
    <w:p w14:paraId="12D2328F" w14:textId="7777734A" w:rsidR="00AF6EAF" w:rsidRPr="0027616F" w:rsidRDefault="00A62600" w:rsidP="00B65909">
      <w:r>
        <w:rPr>
          <w:vertAlign w:val="superscript"/>
        </w:rPr>
        <w:t>5</w:t>
      </w:r>
      <w:r w:rsidR="0027616F">
        <w:rPr>
          <w:vertAlign w:val="superscript"/>
        </w:rPr>
        <w:t xml:space="preserve"> </w:t>
      </w:r>
      <w:r w:rsidR="0027616F">
        <w:t>Department of Information Science, University of Otago, New Zealand</w:t>
      </w:r>
    </w:p>
    <w:p w14:paraId="11D06E7C" w14:textId="2B362236" w:rsidR="00B65909" w:rsidRPr="00482230" w:rsidRDefault="00B65909" w:rsidP="00B65909">
      <w:pPr>
        <w:rPr>
          <w:b/>
          <w:bCs/>
        </w:rPr>
      </w:pPr>
      <w:r w:rsidRPr="00482230">
        <w:rPr>
          <w:b/>
          <w:bCs/>
        </w:rPr>
        <w:t>Introduction</w:t>
      </w:r>
    </w:p>
    <w:p w14:paraId="042B395B" w14:textId="03A85401" w:rsidR="00B65909" w:rsidRPr="00482230" w:rsidRDefault="00B65909" w:rsidP="00B65909">
      <w:r w:rsidRPr="00482230">
        <w:t xml:space="preserve">Dengue epidemics can rapidly increase demand in healthcare services across many endemic settings. However, there remains a lack of tools which can rapidly inform patient management and can be used at the point of care. Digital clinical decision-support systems (CDSS) allow for efficient organisation of care as well as improve the quality of patient management. It is important that these tools are designed for the end-user and </w:t>
      </w:r>
      <w:r w:rsidR="00E8168C" w:rsidRPr="00482230">
        <w:t xml:space="preserve">with the </w:t>
      </w:r>
      <w:r w:rsidRPr="00482230">
        <w:t>healthcare setting in mind</w:t>
      </w:r>
      <w:r w:rsidR="003C7107">
        <w:t xml:space="preserve"> to increase adoption and usability.</w:t>
      </w:r>
    </w:p>
    <w:p w14:paraId="09441547" w14:textId="77777777" w:rsidR="00B65909" w:rsidRPr="00482230" w:rsidRDefault="00B65909" w:rsidP="00B65909">
      <w:pPr>
        <w:rPr>
          <w:b/>
          <w:bCs/>
        </w:rPr>
      </w:pPr>
      <w:r w:rsidRPr="00482230">
        <w:rPr>
          <w:b/>
          <w:bCs/>
        </w:rPr>
        <w:t>Methods</w:t>
      </w:r>
    </w:p>
    <w:p w14:paraId="13F107A2" w14:textId="323ED2B0" w:rsidR="00B65909" w:rsidRPr="0066316F" w:rsidRDefault="00B65909" w:rsidP="00B65909">
      <w:pPr>
        <w:rPr>
          <w:rFonts w:ascii="Times New Roman" w:eastAsia="Times New Roman" w:hAnsi="Times New Roman" w:cs="Times New Roman"/>
          <w:sz w:val="24"/>
          <w:szCs w:val="24"/>
          <w:lang w:eastAsia="en-GB"/>
        </w:rPr>
      </w:pPr>
      <w:r w:rsidRPr="00482230">
        <w:t>We adopted a ground-up human-centred design approach to design a digital CDSS system for dengue management in Vietnam</w:t>
      </w:r>
      <w:r w:rsidR="008176DB">
        <w:t xml:space="preserve"> </w:t>
      </w:r>
      <w:r w:rsidR="008176DB" w:rsidRPr="0066316F">
        <w:rPr>
          <w:color w:val="000000" w:themeColor="text1"/>
        </w:rPr>
        <w:t>(</w:t>
      </w:r>
      <w:r w:rsidR="0066316F" w:rsidRPr="0066316F">
        <w:rPr>
          <w:rFonts w:ascii="Calibri" w:eastAsia="Times New Roman" w:hAnsi="Calibri" w:cs="Calibri"/>
          <w:color w:val="000000" w:themeColor="text1"/>
          <w:shd w:val="clear" w:color="auto" w:fill="FFFFFF"/>
          <w:lang w:eastAsia="en-GB"/>
        </w:rPr>
        <w:t>D-CA</w:t>
      </w:r>
      <w:r w:rsidR="007C4AA0">
        <w:rPr>
          <w:rFonts w:ascii="Calibri" w:eastAsia="Times New Roman" w:hAnsi="Calibri" w:cs="Calibri"/>
          <w:color w:val="000000" w:themeColor="text1"/>
          <w:shd w:val="clear" w:color="auto" w:fill="FFFFFF"/>
          <w:lang w:eastAsia="en-GB"/>
        </w:rPr>
        <w:t>T</w:t>
      </w:r>
      <w:r w:rsidR="008176DB" w:rsidRPr="0066316F">
        <w:rPr>
          <w:color w:val="000000" w:themeColor="text1"/>
        </w:rPr>
        <w:t>)</w:t>
      </w:r>
      <w:r w:rsidRPr="0066316F">
        <w:rPr>
          <w:color w:val="000000" w:themeColor="text1"/>
        </w:rPr>
        <w:t xml:space="preserve">. </w:t>
      </w:r>
      <w:r w:rsidRPr="00482230">
        <w:t>A multidisciplinary team of data scientists, clinicians and social scientists were involved in a series of activities designed to map clinical processes, essential tasks and decision-making priorities which were crucial in the management of dengue at our hospital setting</w:t>
      </w:r>
      <w:r w:rsidR="0099175C">
        <w:t xml:space="preserve"> [</w:t>
      </w:r>
      <w:r w:rsidR="00737766">
        <w:t>1</w:t>
      </w:r>
      <w:r w:rsidR="0099175C">
        <w:t>]</w:t>
      </w:r>
      <w:r w:rsidRPr="00482230">
        <w:t xml:space="preserve">. Frontend development was undertaken by a specialist UX designer with regular feedback </w:t>
      </w:r>
      <w:r w:rsidR="008176DB">
        <w:t>from the</w:t>
      </w:r>
      <w:r w:rsidRPr="00482230">
        <w:t xml:space="preserve"> research team and clinical end-users. </w:t>
      </w:r>
    </w:p>
    <w:p w14:paraId="20BE863B" w14:textId="77777777" w:rsidR="00B65909" w:rsidRPr="00482230" w:rsidRDefault="00B65909" w:rsidP="00B65909">
      <w:pPr>
        <w:rPr>
          <w:b/>
          <w:bCs/>
        </w:rPr>
      </w:pPr>
      <w:r w:rsidRPr="00482230">
        <w:rPr>
          <w:b/>
          <w:bCs/>
        </w:rPr>
        <w:t>Results</w:t>
      </w:r>
    </w:p>
    <w:p w14:paraId="483037A3" w14:textId="4633AF53" w:rsidR="00B65909" w:rsidRPr="00482230" w:rsidRDefault="00B65909" w:rsidP="00B65909">
      <w:r w:rsidRPr="00482230">
        <w:t xml:space="preserve">Based on </w:t>
      </w:r>
      <w:r w:rsidR="00D27512">
        <w:t>our previous work, the</w:t>
      </w:r>
      <w:r w:rsidRPr="00482230">
        <w:t xml:space="preserve"> desired features for the CDSS identified were: i) patient organisation, ii) availability of guidelines and calculators with easy access, iii) display of results</w:t>
      </w:r>
      <w:r w:rsidR="0099175C">
        <w:t xml:space="preserve"> and</w:t>
      </w:r>
      <w:r w:rsidRPr="00482230">
        <w:t xml:space="preserve"> iv) inference models</w:t>
      </w:r>
      <w:r w:rsidR="0099175C">
        <w:t xml:space="preserve"> for dengue diagnosis on admission [2] and further risk-stratification for </w:t>
      </w:r>
      <w:r w:rsidR="00592A92">
        <w:t>hospitalised patients</w:t>
      </w:r>
      <w:r w:rsidR="0099175C">
        <w:t xml:space="preserve"> based on possible complications [</w:t>
      </w:r>
      <w:r w:rsidR="00737766">
        <w:t>3</w:t>
      </w:r>
      <w:r w:rsidR="0099175C">
        <w:t>]</w:t>
      </w:r>
      <w:r w:rsidRPr="00482230">
        <w:t>. A web-based reactive framework suitable for display on computers and tablets</w:t>
      </w:r>
      <w:r w:rsidR="00D27512">
        <w:t xml:space="preserve"> was produced</w:t>
      </w:r>
      <w:r w:rsidRPr="00482230">
        <w:t>. Priority was placed on usability and modular</w:t>
      </w:r>
      <w:r w:rsidR="00D27512">
        <w:t>ity so that the system can be repurposed.</w:t>
      </w:r>
    </w:p>
    <w:p w14:paraId="7CD33683" w14:textId="77777777" w:rsidR="00B65909" w:rsidRPr="00482230" w:rsidRDefault="00B65909" w:rsidP="00B65909">
      <w:pPr>
        <w:rPr>
          <w:b/>
          <w:bCs/>
        </w:rPr>
      </w:pPr>
      <w:r w:rsidRPr="00482230">
        <w:rPr>
          <w:b/>
          <w:bCs/>
        </w:rPr>
        <w:t>Conclusion</w:t>
      </w:r>
    </w:p>
    <w:p w14:paraId="0F969CED" w14:textId="47F478F2" w:rsidR="504367D7" w:rsidRDefault="0066316F" w:rsidP="504367D7">
      <w:r w:rsidRPr="0066316F">
        <w:rPr>
          <w:color w:val="000000" w:themeColor="text1"/>
        </w:rPr>
        <w:t xml:space="preserve">Dengue Clinical </w:t>
      </w:r>
      <w:r w:rsidR="00D07382">
        <w:rPr>
          <w:color w:val="000000" w:themeColor="text1"/>
        </w:rPr>
        <w:t>Application Tool</w:t>
      </w:r>
      <w:r w:rsidRPr="0066316F">
        <w:rPr>
          <w:color w:val="000000" w:themeColor="text1"/>
        </w:rPr>
        <w:t xml:space="preserve"> (D-CA</w:t>
      </w:r>
      <w:r w:rsidR="00D07382">
        <w:rPr>
          <w:color w:val="000000" w:themeColor="text1"/>
        </w:rPr>
        <w:t>T</w:t>
      </w:r>
      <w:r w:rsidRPr="0066316F">
        <w:rPr>
          <w:color w:val="000000" w:themeColor="text1"/>
        </w:rPr>
        <w:t xml:space="preserve">) is </w:t>
      </w:r>
      <w:r w:rsidR="00770F70" w:rsidRPr="0066316F">
        <w:rPr>
          <w:color w:val="000000" w:themeColor="text1"/>
        </w:rPr>
        <w:t>a bespo</w:t>
      </w:r>
      <w:r w:rsidRPr="0066316F">
        <w:rPr>
          <w:color w:val="000000" w:themeColor="text1"/>
        </w:rPr>
        <w:t xml:space="preserve">ke </w:t>
      </w:r>
      <w:r w:rsidR="00770F70">
        <w:t xml:space="preserve">and rapidly scalable CDSS produced </w:t>
      </w:r>
      <w:r>
        <w:t xml:space="preserve">following clinical pathways, clinician’s needs, </w:t>
      </w:r>
      <w:r w:rsidR="00770F70">
        <w:t xml:space="preserve">and usability in mind. </w:t>
      </w:r>
      <w:r w:rsidR="001954F1">
        <w:t xml:space="preserve">Further work will focus on </w:t>
      </w:r>
      <w:r w:rsidR="00770F70">
        <w:t xml:space="preserve">prospective evaluation </w:t>
      </w:r>
      <w:r>
        <w:t xml:space="preserve">and iterative improvement </w:t>
      </w:r>
      <w:r w:rsidR="00770F70">
        <w:t xml:space="preserve">of the CDSS </w:t>
      </w:r>
      <w:r w:rsidR="00A43B6E">
        <w:t xml:space="preserve">including </w:t>
      </w:r>
      <w:r>
        <w:t xml:space="preserve">(i) </w:t>
      </w:r>
      <w:r w:rsidR="00B65909" w:rsidRPr="00482230">
        <w:t xml:space="preserve">end-user testing </w:t>
      </w:r>
      <w:r w:rsidR="00770F70">
        <w:t xml:space="preserve">and </w:t>
      </w:r>
      <w:r>
        <w:t xml:space="preserve">(ii) </w:t>
      </w:r>
      <w:r w:rsidR="00A43B6E">
        <w:t xml:space="preserve">prospective </w:t>
      </w:r>
      <w:r w:rsidR="00770F70">
        <w:t>model</w:t>
      </w:r>
      <w:r>
        <w:t xml:space="preserve"> </w:t>
      </w:r>
      <w:r w:rsidR="00770F70">
        <w:t>performance</w:t>
      </w:r>
      <w:r>
        <w:t>. If</w:t>
      </w:r>
      <w:r w:rsidR="00770F70">
        <w:t xml:space="preserve"> successful,</w:t>
      </w:r>
      <w:r w:rsidR="00D27512">
        <w:t xml:space="preserve"> </w:t>
      </w:r>
      <w:r w:rsidR="00770F70">
        <w:t xml:space="preserve">the CDSS will be </w:t>
      </w:r>
      <w:r w:rsidR="00D27512">
        <w:t>implement</w:t>
      </w:r>
      <w:r w:rsidR="00770F70">
        <w:t xml:space="preserve">ed </w:t>
      </w:r>
      <w:r w:rsidR="00D27512">
        <w:t>and deploy</w:t>
      </w:r>
      <w:r w:rsidR="00770F70">
        <w:t xml:space="preserve">ed </w:t>
      </w:r>
      <w:r w:rsidR="00D27512">
        <w:t>to evaluate its clinical utility.</w:t>
      </w:r>
      <w:r w:rsidR="00670C46">
        <w:br/>
      </w:r>
    </w:p>
    <w:p w14:paraId="19314647" w14:textId="3FF615EF" w:rsidR="00737766" w:rsidRPr="00670C46" w:rsidRDefault="00737766" w:rsidP="00670C46">
      <w:pPr>
        <w:spacing w:after="0" w:line="240" w:lineRule="auto"/>
        <w:rPr>
          <w:rFonts w:cstheme="minorHAnsi"/>
          <w:sz w:val="20"/>
          <w:szCs w:val="20"/>
        </w:rPr>
      </w:pPr>
      <w:r w:rsidRPr="00670C46">
        <w:rPr>
          <w:rFonts w:eastAsia="Times New Roman" w:cstheme="minorHAnsi"/>
          <w:color w:val="201F1E"/>
          <w:sz w:val="20"/>
          <w:szCs w:val="20"/>
          <w:shd w:val="clear" w:color="auto" w:fill="FFFFFF"/>
          <w:lang w:eastAsia="en-GB"/>
        </w:rPr>
        <w:t xml:space="preserve">[1] Huy NQ, Ming DK, An LP, Chanh HQ, Tam DTH, Trieu HT, Van Nuil JL, Paton C, Hernandez B, Georgiou P, Holmes AH, Yacoub S. Mapping patient pathways and understanding clinical decision-making in dengue </w:t>
      </w:r>
      <w:r w:rsidRPr="00670C46">
        <w:rPr>
          <w:rFonts w:eastAsia="Times New Roman" w:cstheme="minorHAnsi"/>
          <w:color w:val="201F1E"/>
          <w:sz w:val="20"/>
          <w:szCs w:val="20"/>
          <w:shd w:val="clear" w:color="auto" w:fill="FFFFFF"/>
          <w:lang w:eastAsia="en-GB"/>
        </w:rPr>
        <w:lastRenderedPageBreak/>
        <w:t xml:space="preserve">management to inform the development of digital health tools. BMC Medical Informatics and Decision Making. 2022 Aug 04 </w:t>
      </w:r>
      <w:r w:rsidRPr="00670C46">
        <w:rPr>
          <w:rFonts w:eastAsia="Times New Roman" w:cstheme="minorHAnsi"/>
          <w:i/>
          <w:iCs/>
          <w:color w:val="201F1E"/>
          <w:sz w:val="20"/>
          <w:szCs w:val="20"/>
          <w:shd w:val="clear" w:color="auto" w:fill="FFFFFF"/>
          <w:lang w:eastAsia="en-GB"/>
        </w:rPr>
        <w:t>[Under review]</w:t>
      </w:r>
      <w:r w:rsidRPr="00670C46">
        <w:rPr>
          <w:rFonts w:cstheme="minorHAnsi"/>
          <w:sz w:val="20"/>
          <w:szCs w:val="20"/>
        </w:rPr>
        <w:t xml:space="preserve"> </w:t>
      </w:r>
    </w:p>
    <w:p w14:paraId="128249F7" w14:textId="77777777" w:rsidR="00737766" w:rsidRPr="00670C46" w:rsidRDefault="00737766" w:rsidP="00737766">
      <w:pPr>
        <w:spacing w:after="0" w:line="240" w:lineRule="auto"/>
        <w:rPr>
          <w:rFonts w:ascii="Times New Roman" w:eastAsia="Times New Roman" w:hAnsi="Times New Roman" w:cs="Times New Roman"/>
          <w:sz w:val="20"/>
          <w:szCs w:val="20"/>
          <w:lang w:eastAsia="en-GB"/>
        </w:rPr>
      </w:pPr>
      <w:r w:rsidRPr="00670C46">
        <w:rPr>
          <w:rFonts w:ascii="Arial" w:eastAsia="Times New Roman" w:hAnsi="Arial" w:cs="Arial"/>
          <w:color w:val="222222"/>
          <w:sz w:val="20"/>
          <w:szCs w:val="20"/>
          <w:shd w:val="clear" w:color="auto" w:fill="FFFFFF"/>
          <w:lang w:eastAsia="en-GB"/>
        </w:rPr>
        <w:t>[2] Ming DK, Tuan NM, Hernandez B, Sangkaew S, Vuong NL, Chanh HQ, Chau NV, Simmons CP, Wills B, Georgiou P, Holmes AH. The Diagnosis of Dengue in Patients Presenting With Acute Febrile Illness Using Supervised Machine Learning and Impact of Seasonality. Frontiers in digital health. 2022 Mar 14;4.</w:t>
      </w:r>
    </w:p>
    <w:p w14:paraId="13933C70" w14:textId="77777777" w:rsidR="00737766" w:rsidRPr="00670C46" w:rsidRDefault="00737766" w:rsidP="504367D7">
      <w:pPr>
        <w:rPr>
          <w:rFonts w:ascii="Arial" w:eastAsia="Times New Roman" w:hAnsi="Arial" w:cs="Arial"/>
          <w:color w:val="222222"/>
          <w:sz w:val="20"/>
          <w:szCs w:val="20"/>
          <w:shd w:val="clear" w:color="auto" w:fill="FFFFFF"/>
          <w:lang w:eastAsia="en-GB"/>
        </w:rPr>
      </w:pPr>
    </w:p>
    <w:p w14:paraId="3D3B175D" w14:textId="0E4787B9" w:rsidR="504367D7" w:rsidRPr="000D617D" w:rsidRDefault="0099175C" w:rsidP="00266995">
      <w:pPr>
        <w:rPr>
          <w:rFonts w:ascii="Arial" w:eastAsia="Times New Roman" w:hAnsi="Arial" w:cs="Arial"/>
          <w:color w:val="222222"/>
          <w:sz w:val="20"/>
          <w:szCs w:val="20"/>
          <w:shd w:val="clear" w:color="auto" w:fill="FFFFFF"/>
          <w:lang w:eastAsia="en-GB"/>
        </w:rPr>
      </w:pPr>
      <w:r w:rsidRPr="00670C46">
        <w:rPr>
          <w:rFonts w:ascii="Arial" w:eastAsia="Times New Roman" w:hAnsi="Arial" w:cs="Arial"/>
          <w:color w:val="222222"/>
          <w:sz w:val="20"/>
          <w:szCs w:val="20"/>
          <w:shd w:val="clear" w:color="auto" w:fill="FFFFFF"/>
          <w:lang w:eastAsia="en-GB"/>
        </w:rPr>
        <w:t>[</w:t>
      </w:r>
      <w:r w:rsidR="00737766" w:rsidRPr="00670C46">
        <w:rPr>
          <w:rFonts w:ascii="Arial" w:eastAsia="Times New Roman" w:hAnsi="Arial" w:cs="Arial"/>
          <w:color w:val="222222"/>
          <w:sz w:val="20"/>
          <w:szCs w:val="20"/>
          <w:shd w:val="clear" w:color="auto" w:fill="FFFFFF"/>
          <w:lang w:eastAsia="en-GB"/>
        </w:rPr>
        <w:t>3</w:t>
      </w:r>
      <w:r w:rsidRPr="00670C46">
        <w:rPr>
          <w:rFonts w:ascii="Arial" w:eastAsia="Times New Roman" w:hAnsi="Arial" w:cs="Arial"/>
          <w:color w:val="222222"/>
          <w:sz w:val="20"/>
          <w:szCs w:val="20"/>
          <w:shd w:val="clear" w:color="auto" w:fill="FFFFFF"/>
          <w:lang w:eastAsia="en-GB"/>
        </w:rPr>
        <w:t>] Ming DK, Hernandez B, Sangkaew S, Vuong NL, Lam PK, Nguyet NM, Tam DT, Trung DT, Tien NT, Tuan NM, Chau NV. Applied machine learning for the risk-stratification and clinical decision support of hospitalised patients with dengue in Vietnam. PLOS Digital Health. 2022 Jan 18;1(1):e0000005.</w:t>
      </w:r>
      <w:r w:rsidR="00266995" w:rsidRPr="00670C46">
        <w:rPr>
          <w:rFonts w:ascii="Arial" w:eastAsia="Times New Roman" w:hAnsi="Arial" w:cs="Arial"/>
          <w:color w:val="222222"/>
          <w:sz w:val="20"/>
          <w:szCs w:val="20"/>
          <w:shd w:val="clear" w:color="auto" w:fill="FFFFFF"/>
          <w:lang w:eastAsia="en-GB"/>
        </w:rPr>
        <w:br/>
      </w:r>
      <w:r w:rsidR="00266995">
        <w:br/>
      </w:r>
      <w:r w:rsidR="00266995">
        <w:rPr>
          <w:noProof/>
        </w:rPr>
        <w:drawing>
          <wp:inline distT="0" distB="0" distL="0" distR="0" wp14:anchorId="5D041585" wp14:editId="6157B06D">
            <wp:extent cx="5731510" cy="3422650"/>
            <wp:effectExtent l="0" t="0" r="0" b="635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r w:rsidR="00266995">
        <w:rPr>
          <w:rFonts w:ascii="Arial" w:eastAsia="Times New Roman" w:hAnsi="Arial" w:cs="Arial"/>
          <w:color w:val="222222"/>
          <w:sz w:val="20"/>
          <w:szCs w:val="20"/>
          <w:shd w:val="clear" w:color="auto" w:fill="FFFFFF"/>
          <w:lang w:eastAsia="en-GB"/>
        </w:rPr>
        <w:br/>
      </w:r>
      <w:r w:rsidR="00266995">
        <w:rPr>
          <w:noProof/>
        </w:rPr>
        <w:drawing>
          <wp:inline distT="0" distB="0" distL="0" distR="0" wp14:anchorId="2A510ED3" wp14:editId="1E128217">
            <wp:extent cx="5731510" cy="3389630"/>
            <wp:effectExtent l="0" t="0" r="0" b="127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sectPr w:rsidR="504367D7" w:rsidRPr="000D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83BF"/>
    <w:multiLevelType w:val="hybridMultilevel"/>
    <w:tmpl w:val="4F642A4A"/>
    <w:lvl w:ilvl="0" w:tplc="A00C7D14">
      <w:start w:val="1"/>
      <w:numFmt w:val="bullet"/>
      <w:lvlText w:val=""/>
      <w:lvlJc w:val="left"/>
      <w:pPr>
        <w:ind w:left="720" w:hanging="360"/>
      </w:pPr>
      <w:rPr>
        <w:rFonts w:ascii="Symbol" w:hAnsi="Symbol" w:hint="default"/>
      </w:rPr>
    </w:lvl>
    <w:lvl w:ilvl="1" w:tplc="EB1E95C4">
      <w:start w:val="1"/>
      <w:numFmt w:val="bullet"/>
      <w:lvlText w:val="o"/>
      <w:lvlJc w:val="left"/>
      <w:pPr>
        <w:ind w:left="1440" w:hanging="360"/>
      </w:pPr>
      <w:rPr>
        <w:rFonts w:ascii="Courier New" w:hAnsi="Courier New" w:hint="default"/>
      </w:rPr>
    </w:lvl>
    <w:lvl w:ilvl="2" w:tplc="17662884">
      <w:start w:val="1"/>
      <w:numFmt w:val="bullet"/>
      <w:lvlText w:val=""/>
      <w:lvlJc w:val="left"/>
      <w:pPr>
        <w:ind w:left="2160" w:hanging="360"/>
      </w:pPr>
      <w:rPr>
        <w:rFonts w:ascii="Wingdings" w:hAnsi="Wingdings" w:hint="default"/>
      </w:rPr>
    </w:lvl>
    <w:lvl w:ilvl="3" w:tplc="BA3E525C">
      <w:start w:val="1"/>
      <w:numFmt w:val="bullet"/>
      <w:lvlText w:val=""/>
      <w:lvlJc w:val="left"/>
      <w:pPr>
        <w:ind w:left="2880" w:hanging="360"/>
      </w:pPr>
      <w:rPr>
        <w:rFonts w:ascii="Symbol" w:hAnsi="Symbol" w:hint="default"/>
      </w:rPr>
    </w:lvl>
    <w:lvl w:ilvl="4" w:tplc="05642796">
      <w:start w:val="1"/>
      <w:numFmt w:val="bullet"/>
      <w:lvlText w:val="o"/>
      <w:lvlJc w:val="left"/>
      <w:pPr>
        <w:ind w:left="3600" w:hanging="360"/>
      </w:pPr>
      <w:rPr>
        <w:rFonts w:ascii="Courier New" w:hAnsi="Courier New" w:hint="default"/>
      </w:rPr>
    </w:lvl>
    <w:lvl w:ilvl="5" w:tplc="01C07D26">
      <w:start w:val="1"/>
      <w:numFmt w:val="bullet"/>
      <w:lvlText w:val=""/>
      <w:lvlJc w:val="left"/>
      <w:pPr>
        <w:ind w:left="4320" w:hanging="360"/>
      </w:pPr>
      <w:rPr>
        <w:rFonts w:ascii="Wingdings" w:hAnsi="Wingdings" w:hint="default"/>
      </w:rPr>
    </w:lvl>
    <w:lvl w:ilvl="6" w:tplc="94088396">
      <w:start w:val="1"/>
      <w:numFmt w:val="bullet"/>
      <w:lvlText w:val=""/>
      <w:lvlJc w:val="left"/>
      <w:pPr>
        <w:ind w:left="5040" w:hanging="360"/>
      </w:pPr>
      <w:rPr>
        <w:rFonts w:ascii="Symbol" w:hAnsi="Symbol" w:hint="default"/>
      </w:rPr>
    </w:lvl>
    <w:lvl w:ilvl="7" w:tplc="745676F8">
      <w:start w:val="1"/>
      <w:numFmt w:val="bullet"/>
      <w:lvlText w:val="o"/>
      <w:lvlJc w:val="left"/>
      <w:pPr>
        <w:ind w:left="5760" w:hanging="360"/>
      </w:pPr>
      <w:rPr>
        <w:rFonts w:ascii="Courier New" w:hAnsi="Courier New" w:hint="default"/>
      </w:rPr>
    </w:lvl>
    <w:lvl w:ilvl="8" w:tplc="A142D5D2">
      <w:start w:val="1"/>
      <w:numFmt w:val="bullet"/>
      <w:lvlText w:val=""/>
      <w:lvlJc w:val="left"/>
      <w:pPr>
        <w:ind w:left="6480" w:hanging="360"/>
      </w:pPr>
      <w:rPr>
        <w:rFonts w:ascii="Wingdings" w:hAnsi="Wingdings" w:hint="default"/>
      </w:rPr>
    </w:lvl>
  </w:abstractNum>
  <w:num w:numId="1" w16cid:durableId="87936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AE"/>
    <w:rsid w:val="00014909"/>
    <w:rsid w:val="000D617D"/>
    <w:rsid w:val="001467C9"/>
    <w:rsid w:val="001954F1"/>
    <w:rsid w:val="00266995"/>
    <w:rsid w:val="0027616F"/>
    <w:rsid w:val="002A6BFE"/>
    <w:rsid w:val="003C55AE"/>
    <w:rsid w:val="003C7107"/>
    <w:rsid w:val="00482230"/>
    <w:rsid w:val="00511CEE"/>
    <w:rsid w:val="00592A92"/>
    <w:rsid w:val="00625C0B"/>
    <w:rsid w:val="0066316F"/>
    <w:rsid w:val="00670C46"/>
    <w:rsid w:val="00737766"/>
    <w:rsid w:val="00747CE5"/>
    <w:rsid w:val="00770F70"/>
    <w:rsid w:val="007C4AA0"/>
    <w:rsid w:val="007D4177"/>
    <w:rsid w:val="008176DB"/>
    <w:rsid w:val="00942537"/>
    <w:rsid w:val="0099175C"/>
    <w:rsid w:val="00993114"/>
    <w:rsid w:val="00996105"/>
    <w:rsid w:val="00A153C1"/>
    <w:rsid w:val="00A43B6E"/>
    <w:rsid w:val="00A62600"/>
    <w:rsid w:val="00AF6EAF"/>
    <w:rsid w:val="00B65909"/>
    <w:rsid w:val="00C8184F"/>
    <w:rsid w:val="00D07382"/>
    <w:rsid w:val="00D27512"/>
    <w:rsid w:val="00E8168C"/>
    <w:rsid w:val="00F4160B"/>
    <w:rsid w:val="33375F10"/>
    <w:rsid w:val="4EA79776"/>
    <w:rsid w:val="504367D7"/>
    <w:rsid w:val="5A0CF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8B08"/>
  <w15:chartTrackingRefBased/>
  <w15:docId w15:val="{0EA61BD5-115E-4BD5-B9D2-F28457F1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482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170">
      <w:bodyDiv w:val="1"/>
      <w:marLeft w:val="0"/>
      <w:marRight w:val="0"/>
      <w:marTop w:val="0"/>
      <w:marBottom w:val="0"/>
      <w:divBdr>
        <w:top w:val="none" w:sz="0" w:space="0" w:color="auto"/>
        <w:left w:val="none" w:sz="0" w:space="0" w:color="auto"/>
        <w:bottom w:val="none" w:sz="0" w:space="0" w:color="auto"/>
        <w:right w:val="none" w:sz="0" w:space="0" w:color="auto"/>
      </w:divBdr>
    </w:div>
    <w:div w:id="279263894">
      <w:bodyDiv w:val="1"/>
      <w:marLeft w:val="0"/>
      <w:marRight w:val="0"/>
      <w:marTop w:val="0"/>
      <w:marBottom w:val="0"/>
      <w:divBdr>
        <w:top w:val="none" w:sz="0" w:space="0" w:color="auto"/>
        <w:left w:val="none" w:sz="0" w:space="0" w:color="auto"/>
        <w:bottom w:val="none" w:sz="0" w:space="0" w:color="auto"/>
        <w:right w:val="none" w:sz="0" w:space="0" w:color="auto"/>
      </w:divBdr>
    </w:div>
    <w:div w:id="592711201">
      <w:bodyDiv w:val="1"/>
      <w:marLeft w:val="0"/>
      <w:marRight w:val="0"/>
      <w:marTop w:val="0"/>
      <w:marBottom w:val="0"/>
      <w:divBdr>
        <w:top w:val="none" w:sz="0" w:space="0" w:color="auto"/>
        <w:left w:val="none" w:sz="0" w:space="0" w:color="auto"/>
        <w:bottom w:val="none" w:sz="0" w:space="0" w:color="auto"/>
        <w:right w:val="none" w:sz="0" w:space="0" w:color="auto"/>
      </w:divBdr>
    </w:div>
    <w:div w:id="618024635">
      <w:bodyDiv w:val="1"/>
      <w:marLeft w:val="0"/>
      <w:marRight w:val="0"/>
      <w:marTop w:val="0"/>
      <w:marBottom w:val="0"/>
      <w:divBdr>
        <w:top w:val="none" w:sz="0" w:space="0" w:color="auto"/>
        <w:left w:val="none" w:sz="0" w:space="0" w:color="auto"/>
        <w:bottom w:val="none" w:sz="0" w:space="0" w:color="auto"/>
        <w:right w:val="none" w:sz="0" w:space="0" w:color="auto"/>
      </w:divBdr>
    </w:div>
    <w:div w:id="17631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Perez, Bernard A</dc:creator>
  <cp:keywords/>
  <dc:description/>
  <cp:lastModifiedBy>Hernandez Perez, Bernard A</cp:lastModifiedBy>
  <cp:revision>24</cp:revision>
  <dcterms:created xsi:type="dcterms:W3CDTF">2022-08-04T13:14:00Z</dcterms:created>
  <dcterms:modified xsi:type="dcterms:W3CDTF">2023-01-04T16:00:00Z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eb8108f5bca8311a0491805e3c4e95cfe8d88afabd3ae13ea481bd1702af2f3a</vt:lpwstr>
  </property>
</Properties>
</file>