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rPr>
          <w:rtl/>
          <w:rFonts w:ascii="Vazirmatn" w:hAnsi="Vazirmatn" w:cs="Vazirmatn"/>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مدل جمع‌بند</w:t>
            </w:r>
          </w:p>
        </w:tc>
        <w:tc>
          <w:tcPr>
            <w:tcW w:type="dxa" w:w="6860"/>
            <w:shd w:fill="F2F4F7"/>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tcPr>
          <w:p>
            <w:pPr>
              <w:bidi/>
              <w:jc w:val="right"/>
            </w:pPr>
            <w:r>
              <w:rPr>
                <w:rFonts w:ascii="Vazirmatn" w:hAnsi="Vazirmatn" w:cs="Vazirmatn"/>
                <w:b w:val="0"/>
                <w:color w:val="000000"/>
                <w:sz w:val="22"/>
                <w:rtl w:val="1"/>
              </w:rPr>
              <w:t>منابع دادهٔ تأییدشده</w:t>
            </w:r>
          </w:p>
        </w:tc>
        <w:tc>
          <w:tcPr>
            <w:tcW w:type="dxa" w:w="6860"/>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تصمیم‌های قطعی دریافت و اجرا</w:t>
      </w:r>
    </w:p>
    <w:p>
      <w:pPr>
        <w:bidi/>
        <w:spacing w:after="120" w:line="288" w:lineRule="auto"/>
        <w:jc w:val="right"/>
      </w:pPr>
      <w:r>
        <w:rPr>
          <w:rFonts w:ascii="Vazirmatn" w:hAnsi="Vazirmatn" w:cs="Vazirmatn"/>
          <w:b w:val="0"/>
          <w:color w:val="000000"/>
          <w:sz w:val="22"/>
          <w:rtl w:val="1"/>
        </w:rPr>
        <w:t>سامانهٔ بورسی طبق اعلام مالک پروژه API ندارد. دریافت پرتفوی از رابط مرورگر پس از ورود دستی کاربر انجام می‌شود. نام و آدرس سامانه هنوز لازم است. جزئیات روش استخراج بعد از مشاهدهٔ صفحه تعیین می‌شود.</w:t>
      </w:r>
    </w:p>
    <w:p>
      <w:pPr>
        <w:bidi/>
        <w:spacing w:after="120" w:line="288" w:lineRule="auto"/>
        <w:jc w:val="right"/>
      </w:pPr>
      <w:r>
        <w:rPr>
          <w:rFonts w:ascii="Vazirmatn" w:hAnsi="Vazirmatn" w:cs="Vazirmatn"/>
          <w:b w:val="0"/>
          <w:color w:val="000000"/>
          <w:sz w:val="22"/>
          <w:rtl w:val="1"/>
        </w:rPr>
        <w:t>کاربرد شخصی است و هر دو هسته روی کامپیوتر محل کار یا لپ‌تاپ منزل اجرا می‌شوند؛ سرور ابری یا رایانهٔ همیشه‌روشن در نیاز فعلی وجود ندارد. رابط از localhost باز می‌شود. تنظیمات اجرا باید قابل‌انتقال و مسیرها نسبت به ریشهٔ پروژه باشند؛ محل فعلی همهٔ فایل‌ها F:\Automasion است. ورود کاربر روی هر دستگاه جداگانه انجام می‌شود و نشست مرورگر بین دستگاه‌ها منتقل نمی‌شود.</w:t>
      </w:r>
    </w:p>
    <w:p>
      <w:pPr>
        <w:bidi/>
        <w:spacing w:after="120" w:line="288" w:lineRule="auto"/>
        <w:jc w:val="right"/>
      </w:pPr>
      <w:r>
        <w:rPr>
          <w:rFonts w:ascii="Vazirmatn" w:hAnsi="Vazirmatn" w:cs="Vazirmatn"/>
          <w:b w:val="0"/>
          <w:color w:val="000000"/>
          <w:sz w:val="22"/>
          <w:rtl w:val="1"/>
        </w:rPr>
        <w:t>ارتباط داخلی رابط HTML و هستهٔ پایتون مستقل از API سامانهٔ بورسی است. انتخاب مدل هوش مصنوعی و اجرای آن به‌صورت محلی یا از طریق API هنوز باز است. اجرای لوکال برنامه به معنی بی‌نیازی از اینترنت برای دریافت دادهٔ سایت نیست.</w:t>
      </w:r>
    </w:p>
    <w:p>
      <w:pPr>
        <w:bidi/>
        <w:spacing w:after="120" w:line="288" w:lineRule="auto"/>
        <w:jc w:val="right"/>
      </w:pPr>
      <w:r>
        <w:rPr>
          <w:rFonts w:ascii="Vazirmatn" w:hAnsi="Vazirmatn" w:cs="Vazirmatn"/>
          <w:b w:val="0"/>
          <w:color w:val="000000"/>
          <w:sz w:val="22"/>
          <w:rtl w:val="1"/>
        </w:rPr>
        <w:t>در پایان هر مرحله کدها، مستندات و اسکیل‌ها در GitHub ثبت و ارسال شوند. اطلاعات ورود، کلیدها، نشست‌ها و داده‌های شخصی پرتفوی از انتشار مستثنا باشند. مخزن معرفی‌شدهٔ مالک پروژه https://github.com/bahrami05-meh/Automation.git و شاخهٔ پایه main است. وضعیت ارسال از تاریخچهٔ Git بررسی شود. انتقال کد بین دو دستگاه از انتقال داده‌های خصوصی مستقل است.</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پیشنهادی فایل‌ها زیر F:\Automasion: پوشهٔ backend برای پایتون، frontend/index.html برای رابط، data برای داده‌ها، reports برای گزارش‌ها و skills برای اسکیل‌ها. این ساختار در مرحلهٔ مستندسازی است و هنوز پیاده‌سازی نشده است.</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مدل جمع‌بند</w:t>
            </w:r>
          </w:p>
        </w:tc>
        <w:tc>
          <w:tcPr>
            <w:tcW w:type="dxa" w:w="4300"/>
            <w:shd w:fill="F2F4F7"/>
          </w:tcPr>
          <w:p>
            <w:pPr>
              <w:bidi/>
              <w:jc w:val="right"/>
            </w:pPr>
            <w:r>
              <w:rPr>
                <w:rFonts w:ascii="Vazirmatn" w:hAnsi="Vazirmatn" w:cs="Vazirmatn"/>
                <w:b w:val="0"/>
                <w:color w:val="000000"/>
                <w:sz w:val="22"/>
                <w:rtl w:val="1"/>
              </w:rPr>
              <w:t>حل تعارض، رتبه‌بندی ریسک، تولید متن فارسی</w:t>
            </w:r>
          </w:p>
        </w:tc>
        <w:tc>
          <w:tcPr>
            <w:tcW w:type="dxa" w:w="3160"/>
            <w:shd w:fill="F2F4F7"/>
          </w:tcPr>
          <w:p>
            <w:pPr>
              <w:bidi/>
              <w:jc w:val="right"/>
            </w:pPr>
            <w:r>
              <w:rPr>
                <w:rFonts w:ascii="Vazirmatn" w:hAnsi="Vazirmatn" w:cs="Vazirmatn"/>
                <w:b w:val="0"/>
                <w:color w:val="000000"/>
                <w:sz w:val="22"/>
                <w:rtl w:val="1"/>
              </w:rPr>
              <w:t>گزارش نهایی و وضعیت تصمیم</w:t>
            </w:r>
          </w:p>
        </w:tc>
      </w:tr>
      <w:tr>
        <w:tc>
          <w:tcPr>
            <w:tcW w:type="dxa" w:w="1900"/>
          </w:tcPr>
          <w:p>
            <w:pPr>
              <w:bidi/>
              <w:jc w:val="right"/>
            </w:pPr>
            <w:r>
              <w:rPr>
                <w:rFonts w:ascii="Vazirmatn" w:hAnsi="Vazirmatn" w:cs="Vazirmatn"/>
                <w:b w:val="0"/>
                <w:color w:val="000000"/>
                <w:sz w:val="22"/>
                <w:rtl w:val="1"/>
              </w:rPr>
              <w:t>ذخیره‌سازی</w:t>
            </w:r>
          </w:p>
        </w:tc>
        <w:tc>
          <w:tcPr>
            <w:tcW w:type="dxa" w:w="4300"/>
          </w:tcPr>
          <w:p>
            <w:pPr>
              <w:bidi/>
              <w:jc w:val="right"/>
            </w:pPr>
            <w:r>
              <w:rPr>
                <w:rFonts w:ascii="Vazirmatn" w:hAnsi="Vazirmatn" w:cs="Vazirmatn"/>
                <w:b w:val="0"/>
                <w:color w:val="000000"/>
                <w:sz w:val="22"/>
                <w:rtl w:val="1"/>
              </w:rPr>
              <w:t>اطلاعات کمینه، گزارش‌ها، لاگ ممیزی و تنظیمات</w:t>
            </w:r>
          </w:p>
        </w:tc>
        <w:tc>
          <w:tcPr>
            <w:tcW w:type="dxa" w:w="3160"/>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مخزن GitHub تعیین شده است؛ آزمون دستگاه دوم هنوز باقی است.</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گزارش فارسی</w:t>
            </w:r>
          </w:p>
        </w:tc>
        <w:tc>
          <w:tcPr>
            <w:tcW w:type="dxa" w:w="2250"/>
          </w:tcPr>
          <w:p>
            <w:pPr>
              <w:bidi/>
              <w:jc w:val="right"/>
            </w:pPr>
            <w:r>
              <w:rPr>
                <w:rFonts w:ascii="Vazirmatn" w:hAnsi="Vazirmatn" w:cs="Vazirmatn"/>
                <w:b w:val="0"/>
                <w:color w:val="000000"/>
                <w:sz w:val="22"/>
                <w:rtl w:val="1"/>
              </w:rPr>
              <w:t>پس از ساخت مدل جمع‌بند</w:t>
            </w:r>
          </w:p>
        </w:tc>
        <w:tc>
          <w:tcPr>
            <w:tcW w:type="dxa" w:w="4810"/>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مدل جمع‌بند جک ← ذخیره و نمایش در index.html.</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