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مجاز در market.approved_source_hosts نگهداری می‌شوند و در صورت نبود این بخش در تنظیمات خصوصی دستگاه، فهرست پیش‌فرض config.example.toml اعمال می‌شود. اتصال خودکار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p>
      <w:pPr>
        <w:pStyle w:val="Heading1"/>
        <w:keepNext/>
        <w:bidi/>
        <w:jc w:val="right"/>
      </w:pPr>
      <w:r>
        <w:rPr>
          <w:rFonts w:ascii="Vazirmatn" w:hAnsi="Vazirmatn" w:cs="Vazirmatn"/>
          <w:b/>
          <w:color w:val="2E74B5"/>
          <w:sz w:val="32"/>
          <w:rtl w:val="1"/>
        </w:rPr>
        <w:t>۲۰. اولین ایجنت اجرایی</w:t>
      </w:r>
    </w:p>
    <w:p>
      <w:pPr>
        <w:bidi/>
        <w:spacing w:after="120" w:line="288" w:lineRule="auto"/>
        <w:jc w:val="right"/>
      </w:pPr>
      <w:r>
        <w:rPr>
          <w:rFonts w:ascii="Vazirmatn" w:hAnsi="Vazirmatn" w:cs="Vazirmatn"/>
          <w:b w:val="0"/>
          <w:color w:val="000000"/>
          <w:sz w:val="22"/>
          <w:rtl w:val="1"/>
        </w:rPr>
        <w:t>ایجنت market-capture-agent در backend/agents/market_capture.py ساخته شده است. این ایجنت تنها مرز ورود دادهٔ بازار به هستهٔ تحلیل است: نماد انتخاب‌شده، میزبان منبع، زمان، منطقهٔ زمانی، واحد، نوع قیمت و سازگاری OHLCV را کنترل می‌کند و برای هر اجرا run_id می‌سازد.</w:t>
      </w:r>
    </w:p>
    <w:p>
      <w:pPr>
        <w:bidi/>
        <w:spacing w:after="120" w:line="288" w:lineRule="auto"/>
        <w:jc w:val="right"/>
      </w:pPr>
      <w:r>
        <w:rPr>
          <w:rFonts w:ascii="Vazirmatn" w:hAnsi="Vazirmatn" w:cs="Vazirmatn"/>
          <w:b w:val="0"/>
          <w:color w:val="000000"/>
          <w:sz w:val="22"/>
          <w:rtl w:val="1"/>
        </w:rPr>
        <w:t>بستهٔ معتبر با وضعیت CAPTURED به هستهٔ تحلیل می‌رسد و بستهٔ نامعتبر با DATA_BLOCKED، کد خطا و نیازمندی بازاجرا به داشبورد برمی‌گردد. ایجنت هیچ ورود کارگزاری، نگهداری نشست یا اقدام مالی ندارد. اتصال خودکار مرورگر در مرحلهٔ بعد به قرارداد همین ایجنت اضافه می‌شود.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