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Evaluation Assumptions</w:t>
      </w:r>
    </w:p>
    <w:p>
      <w:pPr>
        <w:pStyle w:val="ListBullet"/>
      </w:pPr>
      <w:r>
        <w:rPr>
          <w:b/>
        </w:rPr>
        <w:t xml:space="preserve">Order ID: </w:t>
      </w:r>
      <w:r>
        <w:t>41000076579</w:t>
      </w:r>
    </w:p>
    <w:p>
      <w:pPr>
        <w:pStyle w:val="ListBullet"/>
      </w:pPr>
      <w:r>
        <w:rPr>
          <w:b/>
        </w:rPr>
        <w:t xml:space="preserve">Project ID: </w:t>
      </w:r>
      <w:r>
        <w:t>05-20-62123 (TIP #HS-2005A)</w:t>
      </w:r>
    </w:p>
    <w:p>
      <w:pPr>
        <w:pStyle w:val="ListBullet"/>
      </w:pPr>
      <w:r>
        <w:rPr>
          <w:b/>
        </w:rPr>
        <w:t xml:space="preserve">GPS Coordinates: </w:t>
      </w:r>
      <w:hyperlink r:id="rId9">
        <w:r>
          <w:rPr>
            <w:rStyle w:val="Hyperlink"/>
          </w:rPr>
          <w:t>36.310027, -78.587328</w:t>
        </w:r>
      </w:hyperlink>
    </w:p>
    <w:p>
      <w:pPr>
        <w:pStyle w:val="ListBullet"/>
      </w:pPr>
      <w:r>
        <w:rPr>
          <w:b/>
        </w:rPr>
        <w:t xml:space="preserve">County / Division: </w:t>
      </w:r>
      <w:r>
        <w:t>Granville County / Division 5</w:t>
      </w:r>
    </w:p>
    <w:p>
      <w:pPr>
        <w:pStyle w:val="ListBullet"/>
      </w:pPr>
      <w:r>
        <w:rPr>
          <w:b/>
        </w:rPr>
        <w:t xml:space="preserve">Study Type: </w:t>
      </w:r>
      <w:r>
        <w:t>Intersection Analysis with a 150' Y-line (4-Leg / 2 Lane @ 2 Lane)</w:t>
      </w:r>
    </w:p>
    <w:p>
      <w:pPr>
        <w:pStyle w:val="ListBullet"/>
      </w:pPr>
      <w:r>
        <w:rPr>
          <w:b/>
        </w:rPr>
        <w:t xml:space="preserve">Location: </w:t>
      </w:r>
      <w:r>
        <w:t>SR 1602 (Main Street) at SR 1207 (Spring Street), Oxford</w:t>
      </w:r>
    </w:p>
    <w:p>
      <w:pPr>
        <w:pStyle w:val="ListBullet"/>
      </w:pPr>
      <w:r>
        <w:rPr>
          <w:b/>
        </w:rPr>
        <w:t xml:space="preserve">Signal ID: </w:t>
      </w:r>
      <w:r>
        <w:t>N/A</w:t>
      </w:r>
    </w:p>
    <w:p>
      <w:pPr>
        <w:pStyle w:val="ListBullet"/>
      </w:pPr>
      <w:r>
        <w:rPr>
          <w:b/>
        </w:rPr>
        <w:t xml:space="preserve">Countermeasure: </w:t>
      </w:r>
      <w:r>
        <w:t>Construct a Mini-Roundabout including pedestrian upgrades</w:t>
      </w:r>
    </w:p>
    <w:p>
      <w:pPr>
        <w:pStyle w:val="ListBullet"/>
      </w:pPr>
      <w:r>
        <w:rPr>
          <w:b/>
        </w:rPr>
        <w:t xml:space="preserve">Statement of Problem: </w:t>
      </w:r>
      <w:r>
        <w:t>n/a</w:t>
      </w:r>
    </w:p>
    <w:p>
      <w:pPr>
        <w:pStyle w:val="ListBullet"/>
      </w:pPr>
      <w:r>
        <w:rPr>
          <w:b/>
        </w:rPr>
        <w:t xml:space="preserve">Project Cost: </w:t>
      </w:r>
      <w:r>
        <w:t>$278,000</w:t>
      </w:r>
    </w:p>
    <w:p>
      <w:pPr>
        <w:pStyle w:val="ListBullet"/>
      </w:pPr>
      <w:r>
        <w:rPr>
          <w:b/>
        </w:rPr>
        <w:t xml:space="preserve">Project Completion: </w:t>
      </w:r>
      <w:r>
        <w:t>12/15/2021</w:t>
      </w:r>
    </w:p>
    <w:p>
      <w:pPr>
        <w:pStyle w:val="ListBullet2"/>
      </w:pPr>
      <w:r>
        <w:rPr>
          <w:b w:val="0"/>
        </w:rPr>
      </w:r>
      <w:r>
        <w:t>Google Earth aerials show the project completed between March 2021 and March 2022; Google Street View shows it implemented as of November 2022; NearMap shows it implemented as of February 2022.</w:t>
      </w:r>
    </w:p>
    <w:p>
      <w:pPr>
        <w:pStyle w:val="ListBullet2"/>
      </w:pPr>
      <w:r>
        <w:rPr>
          <w:b w:val="0"/>
        </w:rPr>
      </w:r>
      <w:r>
        <w:t>A typical 3 month construction period is assumed, 10/1/2021 to 12/31/2021.</w:t>
      </w:r>
    </w:p>
    <w:p>
      <w:pPr>
        <w:pStyle w:val="ListBullet"/>
      </w:pPr>
      <w:r>
        <w:rPr>
          <w:b/>
        </w:rPr>
        <w:t xml:space="preserve">Time Periods: </w:t>
      </w:r>
    </w:p>
    <w:p>
      <w:pPr>
        <w:pStyle w:val="ListBullet2"/>
      </w:pPr>
      <w:r>
        <w:rPr>
          <w:b w:val="0"/>
        </w:rPr>
      </w:r>
      <w:r>
        <w:t>Before Period: 3/1/2017 - 9/30/2021 (4 years, 7 months)</w:t>
      </w:r>
    </w:p>
    <w:p>
      <w:pPr>
        <w:pStyle w:val="ListBullet2"/>
      </w:pPr>
      <w:r>
        <w:rPr>
          <w:b w:val="0"/>
        </w:rPr>
      </w:r>
      <w:r>
        <w:t>Construction: 10/1/2021 - 12/31/2021 (3 months)</w:t>
      </w:r>
    </w:p>
    <w:p>
      <w:pPr>
        <w:pStyle w:val="ListBullet2"/>
      </w:pPr>
      <w:r>
        <w:rPr>
          <w:b w:val="0"/>
        </w:rPr>
      </w:r>
      <w:r>
        <w:t>After Period: 1/1/2022 - 7/31/2026 (4 years, 7 months)</w:t>
      </w:r>
    </w:p>
    <w:p>
      <w:pPr>
        <w:pStyle w:val="ListBullet"/>
      </w:pPr>
      <w:r>
        <w:rPr>
          <w:b/>
        </w:rPr>
        <w:t xml:space="preserve">Target Crashes: </w:t>
      </w:r>
      <w:r>
        <w:t>Frontal Impact Crashes in Intersection (Angle, LTDR, LTSR, RTDR, RTSR, Head-On)</w:t>
      </w:r>
    </w:p>
    <w:p>
      <w:pPr>
        <w:pStyle w:val="ListBullet"/>
      </w:pPr>
      <w:r>
        <w:rPr>
          <w:b/>
        </w:rPr>
        <w:t xml:space="preserve">Project Dev Crash Summary: </w:t>
      </w:r>
      <w:r>
        <w:t>8/1/2010 to 7/31/2020: 19 total crashes (1 B, 3 C, 15 PDO), 4 total injury crashes; CR = 3.16 total injury crashes per the Master Evaluation Spreadsheet.</w:t>
      </w:r>
    </w:p>
    <w:p>
      <w:pPr>
        <w:pStyle w:val="ListBullet"/>
      </w:pPr>
      <w:r>
        <w:rPr>
          <w:b/>
        </w:rPr>
        <w:t xml:space="preserve">Additional Notes: </w:t>
      </w:r>
    </w:p>
    <w:p>
      <w:pPr>
        <w:pStyle w:val="ListBullet2"/>
      </w:pPr>
      <w:r>
        <w:rPr>
          <w:b w:val="0"/>
        </w:rPr>
      </w:r>
      <w:r>
        <w:t>AADTs come from NCDOT stations 390000205 (SR 1207 west of Main), 390000366 (E Spring east of Main), 390000035 and 390000201 (SR 1602 south of US 158 Bus and south of Spring); representative years 2019 (before) and 2025 (after).</w:t>
      </w:r>
    </w:p>
    <w:p>
      <w:pPr>
        <w:pStyle w:val="ListBullet2"/>
      </w:pPr>
      <w:r>
        <w:rPr>
          <w:b w:val="0"/>
        </w:rPr>
      </w:r>
      <w:r>
        <w:t>Posted speeds: 35 mph on Spring Street (major), 25 mph on Main Street (minor).</w:t>
      </w:r>
    </w:p>
    <w:p>
      <w:pPr>
        <w:pStyle w:val="ListBullet2"/>
      </w:pPr>
      <w:r>
        <w:rPr>
          <w:b w:val="0"/>
        </w:rPr>
      </w:r>
      <w:r>
        <w:t>If any patterns of pedestrian crashes emerge, they will be noted.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place/36.310027,-78.5873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