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[15].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it has to be measured, and the timestamp probe under both protocols is the measurement, which costs seconds. On GeNIS the answer is no and feature exclusion is required; on CICIDS2017 the answer is yes.</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ten of them invisible to attribution.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 This is the central methodological finding of the paper, reproduced on the most-used corpus in the field. One of the seven pairs, the repeated Fwd Header Length column, is visible in the header row itself; the other six cannot be seen without comparing the columns value by value. The published troubleshooting of this corpus concerns its feature extractor and its labels [1, 2, 3]; the redundancy of its feature matrix is a separate matter and, unlike those, it is invisible to the attribution methods a study would normally use to check which features drive its models.</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second-widest region of the distribution rather than the widest.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