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a campaign of 154 runs with paired significance tests. Three of the findings have methodological implications, and we test each of them by re-running the audit on CICIDS2017. The first is that attribution-based auditing assigned near-zero importance to every behavioural shortcut we found. All eight score below 10⁻⁴, because they are mutually redundant and six of them are numerically identical columns. Isolated two-protocol evaluation exposed them, and CICIDS2017 carries seven such pairs whose fourteen columns include ten that score exactly zero. The second is that chronological evaluation alone did not neutralise the shortcut created by disjoint attack windows. A timestamp-only probe still reached 98.6% nine-class accuracy under a per-class temporal split, against a 19.4% majority rate. On CICIDS2017 it collapses to 10.3%, so the sufficiency of temporal splitting is a corpus property to be measured, not assumed. The third is that the benign-trained autoencoder was anti-correlated with volumetric floods, reaching AUROC 0.0000 against PSH-ACK floods, which reconstruct more easily than benign traffic. For the corpus itself, a random split saturates the task. Eleven model pairs are indistinguishable and the ranking is uninterpretable. Under temporal evaluation the FT-Transformer leads and the boosted trees that dominated fall behind every neural detector and the linear model. Calibration follows the same pattern, near-perfect under a random split and degrading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[30],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