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test each of them by re-running the audit on CICIDS2017.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not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