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The contribution to artificial intelligence is a four-test feature-audit protocol, explicit rather than a leakage-free guarantee, and the engineering application is network intrusion detection. We benchmark GeNIS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accuracy under a label-aware per-class temporal split against a 19.4% majority. On CICIDS2017 it falls to 10.3%, so whether temporal splitting suffices is corpus-dependent. The benign-trained autoencoder scored every flow of one flood family as more normal than every benign flow, below chance overall. A random split saturates the task, leaving eleven model pairs indistinguishable and the ranking uninterpretable. Under temporal evaluation the FT-Transformer leads and the boosted trees fall behind every neural detector and the linear model. Calibration degrades the same way for nine of eleven. On cost, logistic regression leads XGBoost on four of five axes, trailing the best temporal macro-F1 by 0.0020 at 1 097 times its throughput. We release the blacklist, splits, calibration, cost and models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