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Highlights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- Attribution-based auditing scored every shortcut we found at almost zero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- Isolated two-protocol testing found the eight that importance ranking missed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- Chronological splits alone left a timestamp probe at 98.6 percent accuracy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- On a second corpus that probe fell to 10.3 percent, so the fix is not general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- A linear model beat boosted trees on four of five measured cost and quality axes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A Leakage-Audited Benchmark of Eleven Intrusion Detectors on GeNIS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Leakage-Audited Benchmark of Deep and Ensemble Detectors on the GeNIS 2025 Corpus: Calibration, Cost, and Class Imbalance under the Natural Distribution</dc:title>
  <dc:creator>Ala Bahri, Farah Jemili, Mohamed Mosbah</dc:creator>
  <dc:description>Article 1 — benchmark audité du corpus GeNIS 2025</dc:description>
  <cp:lastModifiedBy>Un-named</cp:lastModifiedBy>
  <cp:revision>1</cp:revision>
  <dcterms:created xsi:type="dcterms:W3CDTF">2026-08-06T17:58:24.879Z</dcterms:created>
  <dcterms:modified xsi:type="dcterms:W3CDTF">2026-08-06T17:58:24.881Z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