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the bottom third. Calibration behaves likewise: near-perfect under a random split, it degrades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sits in the bottom third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the bottom third.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correction of Section 9 is a third addition and it does retrain: the capture-file test that identifies the offending column is under experiments/e7, and the campaign that repeats the audited condition without it — 180 runs over fifteen configurations, both protocols and five seeds, together with the re-measured inference cost and the paired tests of Figures 9 and 11 — is under experiments/e8, again with its notebook under colab/. Tables 2, 7, 8, 10 and 13 and Figures 5, 9, 10, 11, 14 and 18 are computed from that campaign by the scripts under paper/, each of which asserts the counts it reproduces.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