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[13], and security is a domain where the stakes of the confusion are highest. Arp et al. catalogue the recurring pitfalls of security ML (sampling bias, spurious correlations, data snooping) and find them endemic in published work [14]. Two lines are directly upstream of ours. TESSERACT demonstrated that ignoring temporal structure inflates malware-classification results, and argued for chronologically consistent splits as a validity requirement rather than a robustness extra [15].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[16].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[17], and a detector whose confidence is dishonest cannot drive thresholded automation; temperature scaling [17] and selective classification with a reject option [18, 19] are the standard correctives, and uncertainty quantification is increasingly argued to be a first-class requirement for trustworthy NIDS [20]. Class imbalance interacts with all of this: under the natural distribution of GeNIS (7.4% benign traffic at the 60-second interval), accuracy is close to vacuous and metrics such as macro-F1 and the Matthews correlation coefficient are the informative ones [21]. Finally, the tabular-learning literature gives strong prior reason to include tree ensembles alongside deep detectors: gradient-boosted trees remain consistently competitive or superior on tabular data [22, 23], with attention-based architectures such as the FT-Transformer as the strongest deep contenders [24].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[25],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[26]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and what that costs. </w:t>
      </w:r>
      <w:r>
        <w:rPr>
          <w:rFonts w:ascii="Times New Roman" w:cs="Times New Roman" w:eastAsia="Times New Roman" w:hAnsi="Times New Roman"/>
          <w:b w:val="false"/>
          <w:bCs w:val="false"/>
          <w:i w:val="false"/>
          <w:iCs w:val="false"/>
          <w:sz w:val="22"/>
          <w:szCs w:val="22"/>
        </w:rPr>
        <w:t xml:space="preserve">The two accuracies that define τ are measured on the test partition of their respective protocols: each single-feature tree is fitted on the training partition and scored on the test partition, and the permutation importances of Section 6.2 are computed on that same test partition. The blacklist is therefore selected with test-set information, and the benchmark that follows is trained on a feature set that testing helped choose. We state this plainly because it is a departure from the separation the rest of the protocol maintains. Three things bound what it costs. The audit is a diagnostic about the corpus rather than a search over models: it can only remove features, and removing them can only lower the reported scores, so it does not inflate any number in Table 2. The features it removes are selected on a contrast between two protocols, not on the score of any detector, so no detector was tuned against the test partition. And the eight behavioural exclusions sit in a cluster separated from the retained features by 0.047 in τ (Section 9), so the list is not balanced on the edge of test-partition noise. What we cannot claim is that the exact membership of the list is independent of the test partition, and a replication should compute τ on the validation partition and freeze the blacklist before the test partition is opened. We flag this as the first correction a further version of this protocol should make.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[16].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[24].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3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[15]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[27, 28].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[27, 28],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[29].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[15]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[27, 28],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[16],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[27, 28];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[16];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is selected with test-set information. </w:t>
      </w:r>
      <w:r>
        <w:rPr>
          <w:rFonts w:ascii="Times New Roman" w:cs="Times New Roman" w:eastAsia="Times New Roman" w:hAnsi="Times New Roman"/>
          <w:b w:val="false"/>
          <w:bCs w:val="false"/>
          <w:i w:val="false"/>
          <w:iCs w:val="false"/>
          <w:sz w:val="22"/>
          <w:szCs w:val="22"/>
        </w:rPr>
        <w:t xml:space="preserve">The transferability scan measures each feature on the test partition of both protocols, and the permutation importances are computed there too (Section 4.3). The blacklist that defines the audited condition is therefore not independent of the partition on which that condition is finally scored. This does not inflate the reported results, since the audit only removes features and removing them can only lower a score, and no detector was selected against the test partition; but the precise membership of the eight-column behavioural list does carry some dependence on that partition, and a study wishing to quote the list as a clean feature-selection result should recompute it on the validation partition first. We report the flaw rather than the reassurance, and name it as the first thing to correct in a replication.</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[14]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[15]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[16]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[17]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[18]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[19]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[20]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[21]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[22]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[23]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[24]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[25]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[26]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[27]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[28]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[29]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