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Shortcut-Audited Benchmark of Eleven Detectors on the GeNIS 2025 Corpus: Calibration, Cost, and Protocol Robustness under the Natural Distribution</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it for schedule-dependent shortcuts and benchmark it over 154 runs across three feature conditions, two protocols and five seeds, with paired tests. Three findings have methodological implications, and we re-test two of them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label-aware per-class temporal split against a 19.4% majority. On CICIDS2017 it falls to 10.3%, so whether temporal splitting suffices is a corpus property to measure. The benign-trained autoencoder reached AUROC 0.0000 against PSH-ACK floods, below chance overall. For the corpus itself,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feature auditing,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Three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[16], and security is a domain where the stakes of the confusion are highest. Arp et al. catalogue the recurring pitfalls of security ML (sampling bias, spurious correlations, data snooping) and find them endemic in published work [17]. Two lines are directly upstream of ours. TESSERACT demonstrated that ignoring temporal structure inflates malware-classification results, and argued for chronologically consistent splits as a validity requirement rather than a robustness extra [18]. Closer to network flows, D'hooge et al. first measured how far supervised detection carries from one CICIDS corpus to the other, over twelve algorithms and one shared preprocessing pipeline, and found the transfer far weaker than the within-corpus scores suggest [19]. The same group then established the contaminating effect of metadata features in NIDS models: the destination port alone separates ten state-of-the-art IDS datasets at 70–100% accuracy, so any model given that feature learns a dataset artefact rather than traffic behaviour [20].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[21].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[22].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[23], and a detector whose confidence is miscalibrated cannot drive thresholded automation; temperature scaling [23] and selective classification with a reject option [24, 25] are the standard correctives, and uncertainty quantification is increasingly argued to be a first-class requirement for trustworthy NIDS [26]. Class imbalance interacts with all of this. Under the natural distribution of GeNIS (7.4% benign traffic at the 60-second interval), accuracy is close to vacuous and metrics such as macro-F1 and the Matthews correlation coefficient are the informative ones [27]. Finally, the tabular-learning literature gives strong prior reason to include tree ensembles alongside deep detectors. Gradient-boosted trees remain consistently competitive or superior on tabular data [28, 29], with attention-based architectures such as the FT-Transformer as the strongest deep contenders [30].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[31].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[32],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[33]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[20].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[30].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[18]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[34, 35].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[34, 35],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[36].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[18]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[34, 35],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[20],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[34, 35].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[20].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for schedule-dependent shortcuts and benchmarked it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over three seeds and three intervals,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[17]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[18]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[19]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[20]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[21]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[22]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[23]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[24]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[25]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[26]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[27]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[28]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[29]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[30]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[31]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[32]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[33]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[34]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[35]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[36]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