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reaches 0.9999 macro-F1 at 46 317 flows/s with a 1.12 ms median latency and a 2.13 MB model, seven times faster than LightGBM (6 281 flows/s), the only detector above it and by 0.0001, and a hundred times faster than the FT-Transformer (430 flows/s), which leads only under the temporal protocol. Random forest pays 55 ms of median latency for accuracy it does not win, and k-NN is the worst of both worlds (1 875 flows/s, 11.4 MB). Logistic regression, at 1.14 M flows/s and 0.9963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accuracy within 0.0001 of the best, highest throughput among the accurate models, smallest latency tail among the tree ensembles. Where the deployment must survive drift in attack timing, the FT-Transformer's temporal-protocol margin (0.9901 versus 0.9666) is worth its 100× cost only if the certified throughput budget allows it.</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Macro-F1 is the five-seed stratified mean on the audited condition as corrected in Section 9, over 54 columns; latency, throughput and model size were measured before that correction, over 55 columns, and have not been re-measured.</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430 flows per second, a hundred times fewer than XGBoost. XGBoost sits in the bottom third on quality at 0.9666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The throughput column awaits re-measurement under the corrected feature set and is left empty rather than carried over from the twelve-column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0.0040 of macro-F1 under the stratified protocol and 0.0263 under the temporal one, the same eightfold ratio between protocols that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