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numbers published become reference numbers. GeNIS, released in 2025 from an independent CyberRange capture, is at that stage. We audit and benchmark it with eleven supervised and one unsupervised detector across three feature conditions, two protocols and five seeds: 154 runs with paired significance tests. Three findings have methodological implications; we test them by re-running the audit on CICIDS2017. First, attribution-based auditing assigned near-zero importance to every behavioural shortcut we found: all eight score below 10⁻⁴ because they are mutually redundant, six being identical columns. Isolated two-protocol evaluation exposed them; CICIDS2017 carries seven such pairs, ten columns at zero. Second, chronological evaluation alone did not neutralise the shortcut from disjoint attack windows: a timestamp-only probe still reached 98.6% nine-class accuracy under a per-class temporal split, against a 19.4% majority rate. On CICIDS2017 it collapses to 10.3%, so the sufficiency of temporal splitting is a corpus property to be measured, not assumed. Third, the benign-trained autoencoder was anti-correlated with volumetric floods, at AUROC 0.0000 against PSH-ACK floods, which reconstruct more easily than benign traffic. The corpus is saturated under a random split: eleven model pairs are indistinguishable and the ranking uninterpretable. Under temporal evaluation the FT-Transformer leads and the boosted trees that dominated fall to the bottom third. Calibration behaves likewise: near-perfect under a random split, it degrades for nine of eleven detectors. We release the blacklist, transferability spectrum, frozen splits, two-protocol calibration, inference cost and trained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thirteen-feature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nine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Two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[15], and security is a domain where the stakes of the confusion are highest. Arp et al. catalogue the recurring pitfalls of security ML (sampling bias, spurious correlations, data snooping) and find them endemic in published work [16]. Two lines are directly upstream of ours. TESSERACT demonstrated that ignoring temporal structure inflates malware-classification results, and argued for chronologically consistent splits as a validity requirement rather than a robustness extra [17].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[18].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[19];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[20].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[21], and a detector whose confidence is miscalibrated cannot drive thresholded automation; temperature scaling [21] and selective classification with a reject option [22, 23] are the standard correctives, and uncertainty quantification is increasingly argued to be a first-class requirement for trustworthy NIDS [24]. Class imbalance interacts with all of this: under the natural distribution of GeNIS (7.4% benign traffic at the 60-second interval), accuracy is close to vacuous and metrics such as macro-F1 and the Matthews correlation coefficient are the informative ones [25]. Finally, the tabular-learning literature gives strong prior reason to include tree ensembles alongside deep detectors: gradient-boosted trees remain consistently competitive or superior on tabular data [26, 27], with attention-based architectures such as the FT-Transformer as the strongest deep contenders [28].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[29].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[30],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keepLines/>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[31]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87.3%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as experiments/verify_4preprocessed.py.</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Figure 4 sets the four partition schemes this paper uses side by side on one axis of capture time; panel (c) is this one, and panel (b) the degenerate global split described just above.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it answers the narrower question of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That question is one of three the word temporal covers, and no single partition answers more than one of them. It is the first, and panel (c) is the partition that measures it. The second asks whether the answer depends on where the cut falls; the rolling origins of Section 6.8 move that cut to five positions, one of them a purely chronological boundary drawn without any label. The third asks whether a detector recognises a family it has never seen, which is deployment generalisation proper. No label-free partition of this corpus can pose it, because the capture schedule makes a global chronological cut degenerate, so Section 6.8 poses it directly instead by withholding one family at a time. Only the third is deployment generalisation, and no result in Sections 6.1 to 6.7 is offered as an answer to it.</w:t>
      </w:r>
    </w:p>
    <w:p>
      <w:pPr>
        <w:keepNext/>
        <w:spacing w:after="80" w:before="200"/>
        <w:jc w:val="center"/>
      </w:pPr>
      <w:r>
        <w:drawing>
          <ns2:inline distT="0" distB="0" distL="0" distR="0">
            <ns2:extent cx="6124575" cy="3438144"/>
            <ns2:effectExtent t="0" r="0" b="0" l="0"/>
            <ns2:docPr id="3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6" cstate="none"/>
                    <ns3:srcRect/>
                    <ns3:stretch>
                      <ns3:fillRect/>
                    </ns3:stretch>
                  </ns4:blipFill>
                  <ns4:spPr bwMode="auto">
                    <ns3:xfrm>
                      <ns3:off x="0" y="0"/>
                      <ns3:ext cx="6124575" cy="3438144"/>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is degenerate here and is reported as a property of the corpus rather than used as a protocol.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Neither 3.0 nor 0.50 is fixed by the data, and a reader meeting them here should know that Section 9 retrains every detector under five alternative blacklists and reports what the choice costs.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 Algorithm 1 states the procedure exactly as implemented, and the paragraph that follows it gives the settings of the probe.</w:t>
      </w:r>
    </w:p>
    <w:p>
      <w:pPr>
        <w:keepNext/>
        <w:keepLines/>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audit of Section 4.3, as implemented. Lines 3 to 6 are the transferability rule; line 7 is the capture-file test, which reads no label and catches what a ratio between protocols cannot.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11 and 12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c       the capture file each flow was read from</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ident(f)   := f takes at most two values in every file of c</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and those values order the files in time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blacklist := P, every f of B with flag(f) or ident(f)</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10                                                  # 4 + 8 + 1 = 13</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11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12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13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the three paragraphs that follow report what we did about it: the obvious correction fails for a reason we measure, an audit confined to the training partition works, and the blacklist it returns on its own is the published blacklist, column for column.</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under the stratified protocol on either partition,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and panel (d) of Figure 4 shows where it sits inside the training window.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it is the second that should be carried to another corpus.</w:t>
      </w:r>
    </w:p>
    <w:p>
      <w:pPr>
        <w:spacing w:after="120" w:line="276"/>
        <w:jc w:val="both"/>
      </w:pPr>
      <w:r>
        <w:rPr>
          <w:rFonts w:ascii="Times New Roman" w:cs="Times New Roman" w:eastAsia="Times New Roman" w:hAnsi="Times New Roman"/>
          <w:b/>
          <w:bCs/>
          <w:i w:val="false"/>
          <w:iCs w:val="false"/>
          <w:sz w:val="22"/>
          <w:szCs w:val="22"/>
        </w:rPr>
        <w:t xml:space="preserve">The control on the blacklist the nested audit produces alone. </w:t>
      </w:r>
      <w:r>
        <w:rPr>
          <w:rFonts w:ascii="Times New Roman" w:cs="Times New Roman" w:eastAsia="Times New Roman" w:hAnsi="Times New Roman"/>
          <w:b w:val="false"/>
          <w:bCs w:val="false"/>
          <w:i w:val="false"/>
          <w:iCs w:val="false"/>
          <w:sz w:val="22"/>
          <w:szCs w:val="22"/>
        </w:rPr>
        <w:t xml:space="preserve">One control remains, and it is the one that matters most: the campaign was trained on a blacklist that testing helped choose, so the list the nested audit produces on its own has to be shown to support the same conclusions. It does more than that. Ranking the 37 eligible columns by their nested transferability and cutting at the largest gap in that ranking — the rule stated above, which is not told how many columns to expect — returns the eight published columns exactly, and no others. The audited condition trained on the nested list is therefore the audited condition of this paper, column for column, and every number reported here already is that control. Because an identity can look convenient, we bracket it with the two weaker readings of the same audit, both of which we retrained. Cutting at the second-largest gap (0.052 against 0.062) keeps only the six duplicated duration columns, and applying the 0.50 threshold literally to the nested ratios excludes nothing at all. Against the published campaign, the first moves no detector but naive Bayes by more than 0.0009 under the stratified protocol and 0.0046 under the temporal one, the second by more than 0.0012 and 0.0217. Under all three the corpus is saturated under the stratified protocol, both boosted ensembles sit outside the temporal top three, and expected calibration error degrades by a median factor of roughly forty between the protocols. What does move is the order inside the leading group, which permutes across the three readings; that group is the one Section 6.1 and Section 6.8 both report as statistically indistinguishable, so the permutation confirms that finding rather than contradicting it. The check is released as experiments/e4a/verify_nested_blacklist.py.</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[18].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eight behavioural columns excluded by the rule, and one column excluded by neither, gives the thirteen of Table 3. Under the chance-corrected variant the behavioural count rises to thirteen and the blacklist to eighteen; that thirteen counts behavioural columns, and is not the thirteen of the list as a whole. Every count in this paper is one of those two, and Section 9 reports what separates them.</w:t>
      </w:r>
    </w:p>
    <w:p>
      <w:pPr>
        <w:spacing w:after="120" w:line="276"/>
        <w:jc w:val="both"/>
      </w:pPr>
      <w:r>
        <w:rPr>
          <w:rFonts w:ascii="Times New Roman" w:cs="Times New Roman" w:eastAsia="Times New Roman" w:hAnsi="Times New Roman"/>
          <w:b/>
          <w:bCs/>
          <w:i w:val="false"/>
          <w:iCs w:val="false"/>
          <w:sz w:val="22"/>
          <w:szCs w:val="22"/>
        </w:rPr>
        <w:t xml:space="preserve">A third criterion, and why the first two could not have found it. </w:t>
      </w:r>
      <w:r>
        <w:rPr>
          <w:rFonts w:ascii="Times New Roman" w:cs="Times New Roman" w:eastAsia="Times New Roman" w:hAnsi="Times New Roman"/>
          <w:b w:val="false"/>
          <w:bCs w:val="false"/>
          <w:i w:val="false"/>
          <w:iCs w:val="false"/>
          <w:sz w:val="22"/>
          <w:szCs w:val="22"/>
        </w:rPr>
        <w:t xml:space="preserve">One column is on the list for neither reason, and it is the one this audit came closest to missing.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takes one or two distinct values per capture file, and those values are absolute Unix timestamps: it identifies the file a flow was read from rather than anything the flow did. A decision tree given that column alone separates benign from attack traffic at an AUC of 1.0000. Every diagnostic in this paper passes it. Its transferability is 0.94, well clear of the 0.50 threshold; under the nested audit of Section 6.8 it is 1.02, so single-feature accuracy is not lower under the temporal protocol but marginally higher; and the residual audit of Section 6.2 ranks it in the middle of the retained columns. Attribution, meanwhile, gives it 0.2279, the highest permutation importance of any column in the corpus. The reason the rule misses it is structural and not accidental: a criterion built on the ratio between two protocols cannot see a leak that is frozen within each capture group, because such a leak is equally available on both sides of any split of that group. What gives the column away is not its association with the label but its values, and the test that finds it reads no labels at all — a column that is constant within every capture file, and whose values order those files in time, is a file identifier. We add that test to the procedure, and applied to all 63 behavioural candidates it returns this column and no other.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the one further column whose name suggests a position in the capture, is not constant within any file, and its rank correlation with capture order reaches only 0.13 at its highest across the eleven files. The test therefore does not return it and we do not exclude it, although on its own it separates the two classes of traffic well (binary AUC 0.9379 against a nine-class accuracy of 0.0601); Section 9 records that as an anomaly we have not resolved.</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2x2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[28].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XGBoost and LightGBM reach macro-F1 1.0000 ± 0.0000 across five seeds, random forest and the FT-Transformer 0.9999, and nine of the eleven detectors exceed 0.99. McNemar tests with Holm correction confirm what the point estimates suggest (Figure 9):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FT-Transformer,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0.4464 with a 91.5% false-positive rate (4 604 of 5 030 benign flows misclassified), confirming that the near-perfect scores are a property of the corpus and the strong models, not of the metric. Figure 5 shows where the residual difficulty sits: for every strong detector the per-class F1 stays above 0.979 on all nine classes, the lowest being k-NN on benign traffic at 0.9796 and the RNN on bruteforce-ssh at 0.9822, and naive Bayes is the only model with class-level failures. Its worst class is bruteforce-ssh at 0.002, and its benign F1 of 0.156 is what the 91.5%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Ten of the eleven detectors are uniformly strong across all nine classes, the lowest single cell being 0.9796; only naive Bayes fails, and it fails on most classes at once, worst on bruteforce-ssh.</w:t>
      </w:r>
    </w:p>
    <w:p>
      <w:pPr>
        <w:keepNext/>
        <w:keepLines/>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0.0398</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0.9973</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 ± 0.0011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 ± 0.0046</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0.4771</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 ± 0.0037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0.9906</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0.2386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 ± 0.0012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1.7097</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 ± 0.0145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0.6142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91.5308</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[17]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6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whose importance is three orders of magnitude larger, appears far less predictive on its own — on the nine-class task. On the binary task it separates benign from attack traffic perfectly (AUC 1.0000), because it is a capture-file identifier and the two capture blocks are disjoint. Its vertical position here understates it, and Section 4.3 gives the measurement.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That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[32, 33].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that Section 6.2 invokes for the duplicated columns [32, 33],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keepLines/>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13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and the identifier column (id.) by the capture-file test of the same section, which neither of the other two criteria reaches.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 The identifier column carries the highest permutation importance of any column in the corpus and the highest transferability in this table, which is the whole point: neither criterion could have reached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IdleTime</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id.</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0.2279</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0.621</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15).</w:t>
      </w:r>
    </w:p>
    <w:p>
      <w:pPr>
        <w:keepNext/>
        <w:spacing w:after="80" w:before="200"/>
        <w:jc w:val="center"/>
      </w:pPr>
      <w:r>
        <w:drawing>
          <ns2:inline distT="0" distB="0" distL="0" distR="0">
            <ns2:extent cx="3880866" cy="431673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3880866" cy="431673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features the name list and the transferability rule return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0.9901, followed by logistic regression (0.9881), the CNN (0.9848) and the RNN (0.9837); the DNN follows at 0.9773, and XGBoost and LightGBM fall to 0.9666 and 0.9649, ahead only of k-NN at 0.9574 and random forest at 0.9530. The gradient-boosted models that were unbeatable under a random split fell to the bottom third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inside the leading four span 0.0064, from the FT-Transformer down to the RNN, which is the range in which the five-seed dispersion of the stratified protocol already sits, so none of those four should be read as established above another. What lies outside that range is the distance to the boosted ensembles: 0.0235 from the leader to XGBoost, five times the largest seed dispersion in Table 2.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5-point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XGBoost holds 1.0000 at 5, 10 and 60 s and 0.9999 at 30 s, and LightGBM holds ≥ 0.9999 everywhere except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at most 0.01%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0.993.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section documents is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is invariant across all twenty of its runs, and the DNN's decline with window length is carried by every seed at every interval.</w:t>
      </w:r>
    </w:p>
    <w:p>
      <w:pPr>
        <w:spacing w:after="120" w:line="276"/>
        <w:jc w:val="both"/>
      </w:pPr>
      <w:r>
        <w:rPr>
          <w:rFonts w:ascii="Times New Roman" w:cs="Times New Roman" w:eastAsia="Times New Roman" w:hAnsi="Times New Roman"/>
          <w:b/>
          <w:bCs/>
          <w:i w:val="false"/>
          <w:iCs w:val="false"/>
          <w:sz w:val="22"/>
          <w:szCs w:val="22"/>
        </w:rPr>
        <w:t xml:space="preserve">What makes one fit fail and not the others. </w:t>
      </w:r>
      <w:r>
        <w:rPr>
          <w:rFonts w:ascii="Times New Roman" w:cs="Times New Roman" w:eastAsia="Times New Roman" w:hAnsi="Times New Roman"/>
          <w:b w:val="false"/>
          <w:bCs w:val="false"/>
          <w:i w:val="false"/>
          <w:iCs w:val="false"/>
          <w:sz w:val="22"/>
          <w:szCs w:val="22"/>
        </w:rPr>
        <w:t xml:space="preserve">Throughout this paper a seed is the seed of the stratified split; every detector is constructed with its own random state fixed. Changing the seed therefore changes which flows are used for fitting, and with them the histogram grid LightGBM derives from those flows, since it places its bin boundaries from a subsample of 200 000 training rows. Two of the mechanisms one would suspect first are ruled out by the recorded configuration: the campaign sets only the tree budget, the leaf count and the learning rate, leaving bagging and column subsampling switched off, so neither row nor feature resampling takes place. The bin subsample is 98.4% of the 203 292 training flows at 60 s, where the grid is therefore all but determined by the data and no seed departs, against 22.6% of the 883 279 at 10 s. What the failed run looks like points to the fitting side rather than to an unlucky test draw. The damage follows class rarity rather than falling anywhere (Spearman 0.93 across the nine classes, bruteforce-ftp at 0.0561 and bruteforce-ssh at 0.6439 against 0.99 and above for the five commonest); global accuracy barely moves, at 0.9893; the binary ROC-AUC falls from 1.0000 to 0.9604, so the model has lost the ability to rank those flows and not merely to threshold them; and the fit took 336 s against 291 s for seed 1 at a fixed tree budget, which is a different tree structure and not a slower run. Bin construction was therefore the candidate, and it is wrong. It can produce this shape in isolation: with the split held fixed, a rare class at the same 0.23% share separated by an interval one thousandth of its axis, and bin construction at the 10-second coverage, sixteen seeds spread its F1 over 0.45 in discrete groups rather than around a mean, while raising the subsample above the training size returns the same value for all sixteen. On GeNIS it is not what happens. We refitted the same five splits at 10 s with the subsample raised above the training size, which makes the grid deterministic and changes nothing else, alongside a control refit of seed 1 under the original setting that reproduces its published macro-F1 to the last digit. Nothing is removed; the failure moves. Seed 3 recovers, from 0.8374 to 1.0000, and seeds 2 and 4 collapse in its place, at 0.4193 and 0.8106. The worse of the two falls further than the run we set out to explain, to a binary ROC-AUC of 0.5143 and a false-positive rate of 0.9571, with three classes at exactly zero; and neither new failure shows the lengthened fit that marked the published one. That eliminates the candidate: bin sampling is one source of seed sensitivity among others, removing it removes nothing, and the fix we would have recommended had we stopped at the synthetic reproduction would have made this corpus worse. What remains is that at this interval the fit itself is unstable across split composition, and we have not localised that further.</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keepLines/>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as published over 55 columns and not re-run under the correction of Section 9,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0.0015 for every model except logistic regression and naive Bayes, and for those models temperature scaling moves it by less than 0.001 in either direction. Logistic regression is the one the corrected blacklist moved: its stratified error rises from 0.0003 to 0.0084 once the identifier column is withheld, and scaling brings it back to 0.0016. Naive Bayes is the exception in both respects: it starts at 0.1419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(0.2240),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no longer sit at the floor of the grid as they did under the published blacklist: XGBoost, LightGBM and random forest move to 0.85, 1.46 and 0.39. Withholding the identifier column removed the column that made their posteriors near-deterministic, and the temperature says so.</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k-NN and the RNN by at most +0.0016. It transforms only the model that was badly configured to begin with: naive Bayes gains +0.1668 (from 0.5492 to 0.7160),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0.0043 on the test partition, and the CNN loses 0.0067 despite no validation gain at all.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Nine of the eleven detectors are worse calibrated under the temporal protocol than under the stratified one. The tenth is the majority-class baseline, whose confidence does not depend on the split. The eleventh is logistic regression, and it goes the other way, at a ratio of 0.4 -- not because its temporal error improved but because its stratified error rose to meet it once the identifier column was withheld. The degradation is not marginal: LightGBM moves from an expected calibration error of 0.000031 to 0.043588, a factor of 1403, XGBoost by a factor of 994, and the FT-Transformer from 0.000083 to 0.012069, a factor of 146. Those ratios are large because the stratified denominator is near zero, so the absolute change is the quantity to read: among the nine that degrade, the expected calibration error rises by between 0.005 and 0.044 in absolute terms. A measure that does not depend on binning tells the same story. The Brier score of LightGBM moves from 0.000059 to 0.079437, of the FT-Transformer from 0.000295 to 0.023857, of XGBoost from 0.000079 to 0.055339 and of random forest from 0.000118 to 0.053395,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[34].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has something to repair under the temporal protocol, and mostly for one detector.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is no longer inert, but neither is it uniformly useful. It repairs the FT-Transformer decisively, from 0.0174 to 0.0016, an order of magnitude, and it helps k-NN (0.0125 to 0.0064) and LightGBM (0.0083 to 0.0070). It leaves random forest essentially unchanged at 0.0169, still the worst of the accurate detectors, and it makes the RNN, the DNN and XGBoost slightly worse. The fitted temperatures say the same thing from the other side. Under the stratified protocol the boosted ensembles sit at 0.05, the floor of the search grid, the signature of near-deterministic posteriors; under the temporal protocol LightGBM rises to 0.562 and random forest to 0.245, because a model asked to generalise across time no longer produces deterministic posteriors. The FT-Transformer moves the other way, from 1.000 to 0.050: its temporal posteriors are under-confident rather than over-confident, and sharpening them is what removes nine tenths of its calibration error. The practical consequence is narrow but real. A temperature fitted under a random split is the wrong temperature for deployment on traffic that postdates training, and on this corpus it is wrong by an order of magnitude for the detector that leads under temporal evaluation.</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held in half precision, so before reading them we checked that the round trip through storage had not degraded the measurement. The stratified expected calibration errors recomputed here agree with Table 7 to the four decimals that table reports, for every detector. The temperatures fitted here differ slightly, because the grid searched is bounded at 0.05 below and 5 above: the values for the FT-Transformer (1.000 against 0.995), k-NN (2.873 against 2.835) and naive Bayes (5.000 against 5.821) are grid artefacts and not disagreements. Nothing in the comparison between the two protocols depends on those bounds, since both protocols are calibrated on the same grid.</w:t>
      </w:r>
    </w:p>
    <w:p>
      <w:pPr>
        <w:keepNext/>
        <w:keepLines/>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 is fitted by minimising negative log-likelihood on the validation partition over a grid bounded at 0.05 and 5, so the value for naive Bayes sits at the ceiling. Trials: random-search trials actually completed under the 900 s cap; the search was run on the twelve-column condition and is carried over unchanged.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1.455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3.076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0.1419</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0.2240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 The last column is the least stable quantity reported in this paper: replaying the same fits reproduces raw temporal ECE to within 0.0031, but the temperature that minimises validation likelihood sits on a flat surface, and the optimum moves enough to shift the calibrated error by up to 0.0075 for the random forest, whose posteriors are near-deterministic.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0.000031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0.043588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1403×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0.732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0.041791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0.028000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994×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0.367</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0.035252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0.000083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0.013501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0.023375</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0.040999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0.001499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4.190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0.016012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0.001453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0.020094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0.018289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0.007476</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0.008415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0.001408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0.006767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0.586</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0.006520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0.141884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0.167869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0.269970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0.008429</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0.003307</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0.951</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0.003616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keepLines/>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The two columns rank the detectors differently, and the difference is the deployment regime rather than a measurement artefact. On batched throughput, logistic regression dominates outright at 601 449 flows/s, followed by random forest (58 151) and the DNN (51 972), with XGBoost fourth at 42 687. On single-flow latency the order inverts: random forest and the DNN need 55 and 77 ms per flow, where XGBoost answers in 1.22 ms and LightGBM in 1.55 ms. High batched throughput and low per-flow latency are not the same property, and only logistic regression leads both. The FT-Transformer is last on both, at 548 flows/s — 78 times below XGBoost, and its own lead comes only under the temporal protocol; k-NN is the worst of both worlds, paying 621 flows/s, 25.8 ms and 11.4 MB for a temporal macro-F1 of 0.9574, eighth of nine. One caveat governs how the latency column may be read. The four Keras models return median latencies within 4% of each other (76.8 to 80.1 ms) although their batched throughput differs by a factor of 95, so that column is dominated by a fixed per-call overhead of the prediction API and is not comparable with the scikit-learn column. The throughput column does amortise that overhead: it is one call over 10 240 flows at batch size 512, so the overhead is paid once. An earlier version of this measurement looped twenty separate calls of 512 flows and therefore paid it twenty times, which inflated nothing but suppressed the throughput of every detector that has such an overhead — the four Keras models, and random forest through its parallel backend. That is why the two columns are now informative separately.</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logistic regression is the defensible default, and the margin is not close. It is ahead of XGBoost on four of the five axes we measure for both: 601 449 flows/s against 42 687, 0.14 ms against 1.22 at the median and 0.25 against 5.89 at the 99th percentile, and a temporal macro-F1 of 0.9881 against 0.9666, in a model of negligible size. Its single deficit is stratified macro-F1, at 0.9963 against 0.9999 — which is the quantity Section 6.1 finds saturated and Figure 9 finds statistically indistinguishable across eleven pairs. Only the FT-Transformer beats it under the temporal protocol, at 0.9901, 0.0020 above, and that costs 1 097 times more per flow. Random forest shows why both cost columns have to be read: second on batched throughput at 58 151 flows/s, yet 55 ms per flow, 45 times XGBoost's median latency.</w:t>
      </w:r>
    </w:p>
    <w:p>
      <w:pPr>
        <w:keepNext/>
        <w:keepLines/>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 Latency, throughput and macro-F1 are measured on the audited condition as corrected in Section 9, over 54 columns, in a single session with the Keras models pinned to the CPU. Throughput is one call over 10 240 flows at batch size 512, which amortises the per-call overhead once rather than twenty times; an earlier measurement looped twenty calls of 512 and is not comparable with this column. Model size and the majority-class row are carried over unchanged: the first is not re-measured, the second predicts a constant and marks a floor rather than a comparison.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42 687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1.55</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6 090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55.16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67.36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58 151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168.85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548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601 449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147.63</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22 217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76.76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154.96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28 580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51 972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621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229 694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Both axes are the audited condition as corrected in Section 9. Throughput spans three orders of magnitude, and no detector occupies the top-right corner: the FT-Transformer buys the best quality at the worst throughput, logistic regression is within 0.0020 of it at 2 600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every detector at five rolling origins,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ns2:inline distT="0" distB="0" distL="0" distR="0">
            <ns2:extent cx="6124575" cy="2971800"/>
            <ns2:effectExtent t="0" r="0" b="0" l="0"/>
            <ns2:docPr id="3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7" cstate="none"/>
                    <ns3:srcRect/>
                    <ns3:stretch>
                      <ns3:fillRect/>
                    </ns3:stretch>
                  </ns4:blipFill>
                  <ns4:spPr bwMode="auto">
                    <ns3:xfrm>
                      <ns3:off x="0" y="0"/>
                      <ns3:ext cx="6124575" cy="29718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audited condition. The vertical axis is broken: eight detectors live inside a 0.03 band and the two boosted ensembles leave it.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ns2:inline distT="0" distB="0" distL="0" distR="0">
            <ns2:extent cx="6124575" cy="2697480"/>
            <ns2:effectExtent t="0" r="0" b="0" l="0"/>
            <ns2:docPr id="3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8" cstate="none"/>
                    <ns3:srcRect/>
                    <ns3:stretch>
                      <ns3:fillRect/>
                    </ns3:stretch>
                  </ns4:blipFill>
                  <ns4:spPr bwMode="auto">
                    <ns3:xfrm>
                      <ns3:off x="0" y="0"/>
                      <ns3:ext cx="6124575" cy="269748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load GeneratedLabelledFlows instead: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it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[17]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The first is a subflow counter whose guard is always true, so that it is incremented on every packet received, which is what makes Subflow Fwd Packets and Subflow Bwd Packets coincide with Total Fwd Packets and Total Backward Packets. The second is a set of TCP flag counters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[32, 33],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[18],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keepLines/>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[32, 33];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Put to a second corpus in Section 7, that finding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All four axes below are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0.9901, but it processes 548 flows per second, 78 times fewer than XGBoost. XGBoost sits in the bottom third on quality at 0.9666 and is fourth on batched throughput at 42 687 flows per second, but it answers a single flow in 1.22 ms where the three detectors above it on throughput need 0.14 to 77 ms,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0.9881 under the temporal protocol, second overall and ahead of both gradient-boosted ensembles and every recurrent or dense network, at 601 449 flows per second and a negligible model footprint. Its fitted temperature of 0.68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holds macro-F1 1.0000 at 5, 10 and 60 seconds and 0.9999 at 30, with a zero false-positive rate at all four. The DNN is not: it falls from 0.9968 at 60 s to 0.85 at 30 s and to roughly 0.51 at 10 and 5 s, with false-positive rates of 34 and 39% at the two shortest intervals. Combined with its weak showing under the temporal protocol (0.9773), the DNN is the one detector in this benchmark we would not deploy. We also record an instability on the other side: at the 10-second interval one LightGBM seed out of five collapsed to 0.8374 with a 7.71% false-positive rate while the other four stayed at or above 0.9999.</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0.0015 for every model except logistic regression and naive Bayes, so calibration in the usual sense is not the discriminating criterion there. Under the temporal protocol it becomes one: nine of the eleven detectors degrade, and the three best calibrated under a random split, the two boosted ensembles and the FT-Transformer, degrade by factors of 146 to 1403 (Section 6.5). A detector selected on its stratified calibration is therefore selected on a quantity that does not survive the protocol this paper argues for. The fitted temperatures no longer separate the families: 0.39 to 1.46 for the three tree ensembles against 0.68 to 1.35 for the neural models and logistic regression, two overlapping ranges. Withholding the identifier column is what closed the gap, by removing what made the tree posteriors near-deterministic; under the twelve-column condition the ensembles sat at 0.05 to 0.09, the floor of the search grid. A temperature far below one is the signature of near-deterministic posteriors, which is harmless when the argmax is all that is consumed, and a real limitation when the downstream system pools probabilities, prioritises alerts by confidence, or defers on a rejection threshold. On the corrected condition only random forest, at 0.39, is far enough below one for that to bite, so this is a property of one detector rather than of the tree family.</w:t>
      </w:r>
    </w:p>
    <w:p>
      <w:pPr>
        <w:spacing w:after="120" w:line="276" w:lineRule="auto"/>
        <w:jc w:val="both"/>
      </w:pPr>
      <w:r>
        <w:rPr>
          <w:b/>
          <w:bCs/>
        </w:rPr>
        <w:t xml:space="preserve">What we would deploy on this corpus.</w:t>
      </w:r>
      <w:r>
        <w:t xml:space="preserve"> Logistic regression as the default. It is ahead of XGBoost on four of the five axes we measure for both — batched throughput, median latency, tail latency and temporal macro-F1 — and behind on one, stratified macro-F1, which is the axis this paper spends its length arguing is not interpretable on this corpus. XGBoost where the aggregation interval is outside the deployer's control: it is the only detector shown to hold macro-F1 at or above 0.9999 at 5, 10, 30 and 60 s, and it is unchanged to four decimals by tuning. That is not a comparison with logistic regression, which the interval study does not cover, and stating it as one would be the error this paper documents elsewhere. The FT-Transformer only where 0.0020 of temporal macro-F1 is worth 1 097 times the cost per flow, and noting that its lead was obtained with a single untuned configuration. Random forest has the second-highest batched throughput at 58 151 flows/s, but needs 55 ms per flow and is last of the nine on temporal quality, so it is dominated wherever either of those binds. k-nearest neighbours does not scale (621 flows/s, 11.4 MB, and fitted on a capped 50 000-flow subsample), and naive Bayes is not competitive at 0.4843. One limit applies to all of this: the temporal protocol yields a single deterministic partition, so the temporal column carries no variance estimate and small gaps in it should not be over-read.</w:t>
      </w:r>
    </w:p>
    <w:p>
      <w:pPr>
        <w:keepNext/>
        <w:keepLines/>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Interval robustness was measured for the three detectors carried through the multi-interval study; a fitted temperature far below one indicates near-deterministic posteriors rather than miscalibration. Throughput is the amortised measurement of Table 10, on the same corrected condition.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548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601 449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0.9848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28 580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22 217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0.9773</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51 972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1.35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42 687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0.9999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0.85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6 090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1.46</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0.9574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621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3.08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58 151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0.39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0.4843</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229 694</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5.00</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keepLines/>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0.95, ordered by macro-F1. Naive Bayes and the majority baseline are omitted because both fall far below the colour scale, which is clipped at 0.80, the lowest value in the table being 0.814. Two classes remain free for every detector, dos-icmp within 0.0001 and dos-udp within 0.0006. What changed with the corrected blacklist is that the loss no longer disperses: it concentrates on dos-hulk and dos-slowloris, where the DNN, XGBoost, LightGBM, k-NN and random forest all fall below 0.93, and elsewhere only random forest on benign and k-NN on bruteforce-smb drop that far. The lowest cell is random forest on dos-hulk at 0.814, against 0.957 for the leading detector's worst class; eleven of those twelve cells sat above 0.93 under the published blacklist. The same quantities under the stratified protocol stay above 0.979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It carries no column of reported accuracies: the studies evaluate different corpora, tasks and splits, and aligning their headline numbers would be the practice this paper argues against.</w:t>
      </w:r>
    </w:p>
    <w:p>
      <w:pPr>
        <w:keepNext/>
        <w:keepLines/>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i w:val="false"/>
          <w:iCs w:val="false"/>
          <w:sz w:val="22"/>
          <w:szCs w:val="22"/>
        </w:rPr>
        <w:t xml:space="preserve">A leak our own criterion could not see. </w:t>
      </w:r>
      <w:r>
        <w:rPr>
          <w:rFonts w:ascii="Times New Roman" w:cs="Times New Roman" w:eastAsia="Times New Roman" w:hAnsi="Times New Roman"/>
          <w:b w:val="false"/>
          <w:bCs w:val="false"/>
          <w:i w:val="false"/>
          <w:iCs w:val="false"/>
          <w:sz w:val="22"/>
          <w:szCs w:val="22"/>
        </w:rPr>
        <w:t xml:space="preserve">The transferability criterion has a blind spot that this corpus contains an instance of, and we found it late. A ratio between two protocols measures how much of a column's predictive power fails to survive the change. A leak frozen within each capture group loses nothing, because it is equally available on both sides of any split of that group, so the ratio reports it as signal.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is that instance: transferability 0.94 under the published rule, 1.02 under the nested audit, unremarkable in the residual audit, and a binary AUC of 1.0000. It sat in the audited condition of the campaign this paper reports. The test that finds it is in Section 4.3 and reads no labels; it is cheap, and we recommend running it before any transferability audit rather than after. Two things about the episode are worth stating plainly. The first is that attribution did not miss this column — it ranked it first, at 0.2279 — so the failure was ours in reading a high importance as evidence of signal, which is the mirror of the error Section 6.2 documents in the other direction. The second is that our own criterion was documented as having this limit before we hit it, and documenting a limit is not the same as guarding against it. What the omission cost we measured rather than assumed, by retraining every detector under both protocols with the column removed: at most 0.0038 of macro-F1 under the stratified protocol and 0.0263 under the temporal one, a ratio of 7 between protocols, the same signature the other twelve exclusions show. No conclusion of this paper turns on it, and one is sharpened, since under the corrected list the two boosted ensembles fall further from the top of the temporal ranking than they already did. One column adjacent to this question stays unresolved.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is not constant within a capture file, so the new test does not return it, yet a tree given it alone separates benign from attack traffic at an AUC of 0.9379 while classifying the nine classes at 0.0601, below the majority-class rate. We report it and retain the column, because excluding it would mean excluding on suspicion rather than on a stated criterion, which is the practice this paper argues against.</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keepLines/>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What we do not report is the macro-F1 of every detector under each of these blacklists, which would require seven further campaigns; that is the experiment this analysis calls for and does not replace.</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keepLines/>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but not the identifier column, which no threshold on this ratio reaches, so the operative row reads twelve where the published blacklist has thirteen. The operative row is the rule this paper applies. Computed from the released transferability table by paper/sensitivity_threshold.py,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[18];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six exclusions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ns2:inline distT="0" distB="0" distL="0" distR="0">
            <ns2:extent cx="6124575" cy="2487168"/>
            <ns2:effectExtent t="0" r="0" b="0" l="0"/>
            <ns2:docPr id="3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9" cstate="none"/>
                    <ns3:srcRect/>
                    <ns3:stretch>
                      <ns3:fillRect/>
                    </ns3:stretch>
                  </ns4:blipFill>
                  <ns4:spPr bwMode="auto">
                    <ns3:xfrm>
                      <ns3:off x="0" y="0"/>
                      <ns3:ext cx="6124575" cy="2487168"/>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and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i w:val="false"/>
          <w:iCs w:val="false"/>
          <w:sz w:val="22"/>
          <w:szCs w:val="22"/>
        </w:rPr>
        <w:t xml:space="preserve">One run-to-run failure resists explanation. </w:t>
      </w:r>
      <w:r>
        <w:rPr>
          <w:rFonts w:ascii="Times New Roman" w:cs="Times New Roman" w:eastAsia="Times New Roman" w:hAnsi="Times New Roman"/>
          <w:b w:val="false"/>
          <w:bCs w:val="false"/>
          <w:i w:val="false"/>
          <w:iCs w:val="false"/>
          <w:sz w:val="22"/>
          <w:szCs w:val="22"/>
        </w:rPr>
        <w:t xml:space="preserve">Section 6.4 eliminates the mechanisms we could test for the collapse of one LightGBM run at the 10-second interval, and names none in their place. Row and column resampling are excluded by the recorded configuration; histogram bin construction, which reproduces the observed shape on synthetic data and was our leading candidate, is excluded by direct experiment on the corpus, since making the grid deterministic relocates the failure instead of removing it and lowers its worst case. We report that negative outcome rather than the mechanism we expected to report, and the residue is a limitation: at the 10-second interval the behaviour of this ensemble depends on which flows fall in the training partition, through a path we have not isolated. Two properties of the failure survive both settings and are what a reader should carry away. It is discrete rather than gradual, no run of either arm landing between 0.84 and 0.99, so it cannot be caught by inspecting a spread; and a mean over seeds conceals it, which is why Table 6 reports runs. Neither depends on knowing the mechanism. The corresponding caution is that a single fit of a boosted ensemble at short aggregation intervals on this corpus is not evidence, and no configuration change we found makes it one.</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We cannot claim that this leaves the reported accuracies untouched. Re-fitting the FT-Transformer in a later session moved its temporal macro-F1 by 0.0187, more than the effect that the feature correction reported above measures, and the runtime records neither which accelerator served a given run nor whether one was attached at all, so the two cannot be separated after the fact. What the confound does not weaken is the FT-Transformer's temporal-protocol lead, obtained with a single and essentially untuned configuration, since a smaller search budget cannot flatter it.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the bottom third. Calibration follows the same pattern: near-perfect under a random split, it degrades under temporal evaluation for nine of the eleven detectors, by factors of 146 to 1403 for the three that the random split ranks best calibrated, so calibration measured under a random split describes the split rather than the detector. We publish a thirteen-feature blacklist together with the full transferability spectrum under both normalisations, from which a stricter seventeen-feature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experiments/e2, and the two-protocol calibration and residual redundancy of Sections 6.2 and 6.5 under experiments/e3, each with the notebook that produced it under colab/. The correction of Section 9 is a third addition and it does retrain: the capture-file test that identifies the offending column is under experiments/e7, and the campaign that repeats the audited condition without it — 180 runs over fifteen configurations, both protocols and five seeds, together with the re-measured inference cost and the paired tests of Figures 9 and 11 — is under experiments/e8, again with its notebook under colab/. Tables 2, 7, 8, 10 and 13 and Figures 5, 9, 10, 11, 14 and 18 are computed from that campaign by the scripts under paper/, each of which asserts the counts it reproduces. The disposition of every column is released in machine-readable form as paper/blacklist.csv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from the archived results by paper/make_blacklist_csv.py, which asserts that it reproduces every count reported here.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On the cross-dataset generalization of machine learning for network intrusion detection, IEEE Access 12 (2024) 144489–144508.</w:t>
      </w:r>
    </w:p>
    <w:p>
      <w:pPr>
        <w:spacing w:after="80" w:line="240"/>
        <w:ind w:left="480" w:hanging="480"/>
        <w:jc w:val="both"/>
      </w:pPr>
      <w:r>
        <w:rPr>
          <w:rFonts w:ascii="Times New Roman" w:cs="Times New Roman" w:eastAsia="Times New Roman" w:hAnsi="Times New Roman"/>
          <w:sz w:val="19"/>
          <w:szCs w:val="19"/>
        </w:rPr>
        <w:t xml:space="preserve">[15]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[16]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[17]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[18]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[19]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[20]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[21]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[22]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[23]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[24]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[25]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[26]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[27]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[28]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[29]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[30]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[31]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[32]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[33]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[34] J. Snoek, Y. Ovadia, E. Fertig, B. Lakshminarayanan, S. Nowozin, D. Sculley, J. V. Dillon, J. Ren, Z. Nado, Can you trust your model’s uncertainty? Evaluating predictive uncertainty under dataset shift, in: Advances in Neural Information Processing Systems (NeurIPS), 2019, arXiv:1906.02530.</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