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[13], and security is a domain where the stakes of the confusion are highest. Arp et al. catalogue the recurring pitfalls of security ML (sampling bias, spurious correlations, data snooping) and find them endemic in published work [14]. Two lines are directly upstream of ours. TESSERACT demonstrated that ignoring temporal structure inflates malware-classification results, and argued for chronologically consistent splits as a validity requirement rather than a robustness extra [15].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[16].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[17], and a detector whose confidence is dishonest cannot drive thresholded automation; temperature scaling [17] and selective classification with a reject option [18, 19] are the standard correctives, and uncertainty quantification is increasingly argued to be a first-class requirement for trustworthy NIDS [20]. Class imbalance interacts with all of this: under the natural distribution of GeNIS (7.4% benign traffic at the 60-second interval), accuracy is close to vacuous and metrics such as macro-F1 and the Matthews correlation coefficient are the informative ones [21]. Finally, the tabular-learning literature gives strong prior reason to include tree ensembles alongside deep detectors: gradient-boosted trees remain consistently competitive or superior on tabular data [22, 23], with attention-based architectures such as the FT-Transformer as the strongest deep contenders [24].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[25],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[26]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[16].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is applied to the paired multiclass prediction vectors of two detectors on the same seed-1 test partition: it asks whether they misclassify different flows, not whether their macro-F1 differs, and it is exact under the pairing because both detectors see the identical flows in the identical order.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[24].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3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[15]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[27, 28].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[27, 28],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[29].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it has to be measured, and the timestamp probe under both protocols is the measurement, which costs seconds. On GeNIS the answer is no and feature exclusion is required; on CICIDS2017 the answer is yes. The requirement that evaluation be chronologically consistent [15]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[27, 28],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[16],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[27, 28];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[16];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[14]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[15]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[16]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[17]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[18]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[19]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[20]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[21]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[22]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[23]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[24]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[25]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[26]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[27]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[28]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[29]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