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 Farah Jemili, Mohamed Mosbah</w:t>
      </w:r>
    </w:p>
    <w:p>
      <w:pPr>
        <w:spacing w:after="320"/>
        <w:jc w:val="center"/>
      </w:pPr>
      <w:r>
        <w:rPr>
          <w:rFonts w:ascii="Times New Roman" w:cs="Times New Roman" w:eastAsia="Times New Roman" w:hAnsi="Times New Roman"/>
          <w:b/>
          <w:bCs/>
          <w:i/>
          <w:iCs/>
          <w:color w:val="C00000"/>
          <w:sz w:val="20"/>
          <w:szCs w:val="20"/>
        </w:rPr>
        <w:t xml:space="preserve">[A COMPLETER : affiliation 1 (Ala Bahri, Farah Jemili) · affiliation 2 (Mohamed Mosbah)]</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Network intrusion detection is benchmarked on shared corpora, and the first numbers published on a new corpus tend to become its reference numbers. GeNIS, released in 2025 from an independent CyberRange capture, is at that stage. We audit and benchmark it with eleven supervised detectors and one unsupervised detector, across three feature conditions, two evaluation protocols and five seeds on the primary condition — 154 training runs with paired significance testing. Three findings generalise beyond the corpus. First, a shortcut audit cannot be built on feature-attribution scores: all eight behavioural shortcuts we identify have permutation importance below </w:t>
      </w:r>
      <w:r>
        <w:rPr>
          <w:rFonts w:ascii="Times New Roman" w:cs="Times New Roman" w:eastAsia="Times New Roman" w:hAnsi="Times New Roman"/>
          <w:b w:val="false"/>
          <w:bCs w:val="false"/>
          <w:i w:val="false"/>
          <w:iCs w:val="false"/>
          <w:sz w:val="21"/>
          <w:szCs w:val="21"/>
        </w:rPr>
        <w:t xml:space="preserve">10⁻⁴</w:t>
      </w:r>
      <w:r>
        <w:rPr>
          <w:rFonts w:ascii="Times New Roman" w:cs="Times New Roman" w:eastAsia="Times New Roman" w:hAnsi="Times New Roman"/>
          <w:b w:val="false"/>
          <w:bCs w:val="false"/>
          <w:i w:val="false"/>
          <w:iCs w:val="false"/>
          <w:sz w:val="21"/>
          <w:szCs w:val="21"/>
        </w:rPr>
        <w:t xml:space="preserve"> because they are mutually redundant, and six of them are numerically identical columns; only evaluating each feature in isolation under two protocols exposes them. Second, chronological evaluation does not neutralise a capture-schedule shortcut when attack windows are disjoint — a timestamp-only classifier still reaches 98.6% nine-class accuracy under our per-class temporal protocol, against 99.7% under a random split and a 19.4% majority-class rate — so feature exclusion, not temporal ordering, is the operative remedy. Third, a benign-trained autoencoder is anti-correlated with volumetric floods, reaching AUROC 0.0000 against PSH-ACK floods, because flood traffic reconstructs more easily than legitimate traffic. For the corpus itself, the nine-class task is saturated under a random split, where eleven model pairs are statistically indistinguishable and the leaderboard is uninterpretable; the ranking becomes meaningful only under temporal evaluation, where the FT-Transformer leads at macro-F1 0.9966 and the gradient-boosted trees that dominate the random split fall to mid-table. We release a twelve-feature blacklist, frozen splits, calibrated operating points, single-core inference cost for every detector, and the trained models, so that subsequent work on GeNIS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cannot see the ones GeNIS contains. Second, the standard remedy — chronological evaluation —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 a majority baseline, logistic regression, Gaussian naive Bayes, </w:t>
      </w:r>
      <w:r>
        <w:rPr>
          <w:rFonts w:ascii="Times New Roman" w:cs="Times New Roman" w:eastAsia="Times New Roman" w:hAnsi="Times New Roman"/>
          <w:b w:val="false"/>
          <w:bCs w:val="false"/>
          <w:i w:val="false"/>
          <w:iCs w:val="false"/>
          <w:sz w:val="22"/>
          <w:szCs w:val="22"/>
        </w:rPr>
        <w:t xml:space="preserve">k</w:t>
      </w:r>
      <w:r>
        <w:rPr>
          <w:rFonts w:ascii="Times New Roman" w:cs="Times New Roman" w:eastAsia="Times New Roman" w:hAnsi="Times New Roman"/>
          <w:b w:val="false"/>
          <w:bCs w:val="false"/>
          <w:i w:val="false"/>
          <w:iCs w:val="false"/>
          <w:sz w:val="22"/>
          <w:szCs w:val="22"/>
        </w:rPr>
        <w:t xml:space="preserve">-NN, random forest, XGBoost, LightGBM, the RNN, CNN and DNN architectures of our earlier comparative study [7], whose provenance on this corpus the present paper records, and an FT-Transformer —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single-core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attribution-based auditing cannot substitute for it: the eight behavioural shortcuts it finds all have permutation importance below </w:t>
      </w:r>
      <w:r>
        <w:rPr>
          <w:rFonts w:ascii="Times New Roman" w:cs="Times New Roman" w:eastAsia="Times New Roman" w:hAnsi="Times New Roman"/>
          <w:b w:val="false"/>
          <w:bCs w:val="false"/>
          <w:i w:val="false"/>
          <w:iCs w:val="false"/>
          <w:sz w:val="22"/>
          <w:szCs w:val="22"/>
        </w:rPr>
        <w:t xml:space="preserve">10⁻⁴</w:t>
      </w:r>
      <w:r>
        <w:rPr>
          <w:rFonts w:ascii="Times New Roman" w:cs="Times New Roman" w:eastAsia="Times New Roman" w:hAnsi="Times New Roman"/>
          <w:b w:val="false"/>
          <w:bCs w:val="false"/>
          <w:i w:val="false"/>
          <w:iCs w:val="false"/>
          <w:sz w:val="22"/>
          <w:szCs w:val="22"/>
        </w:rPr>
        <w:t xml:space="preserve">, and six of them are numerically identical columns in the released files. We publish the resulting twelve-feature blacklist and the full transferability spectrum.</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temporal splitting is necessary but not sufficient</w:t>
      </w:r>
      <w:r>
        <w:rPr>
          <w:rFonts w:ascii="Times New Roman" w:cs="Times New Roman" w:eastAsia="Times New Roman" w:hAnsi="Times New Roman"/>
          <w:b w:val="false"/>
          <w:bCs w:val="false"/>
          <w:i w:val="false"/>
          <w:iCs w:val="false"/>
          <w:sz w:val="22"/>
          <w:szCs w:val="22"/>
        </w:rPr>
        <w:t xml:space="preserve"> on corpora whose attack windows are disjoint, quantified by a timestamp probe that survives a per-class temporal protocol at 98.6%.</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 eleven model pairs are not significantly different — and that the ranking is interpretable only under temporal evaluation.</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on reconstruction-based anomaly detection</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 better than legitimate traffic.</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 blacklist, frozen splits, hyperparameter configurations, trained models, and the scripts regenerating every figure and table —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and Sections 7–8 discuss their scope and limits.</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Meanwhile, the most-cited benchmark on that corpus [10] — ten supervised and unsupervised algorithms compared on accuracy, F1 and training/testing time —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 a design choice motivated by the observation that the exporter itself materially affects downstream model performance [11]. Its authors' companion study [6] validates binary and multiclass classification with five feature-selection methods over tree ensembles and deep networks, and stands as the official baseline this paper is anchored to.</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[12], and security is a domain where the stakes of the confusion are highest. Arp et al. catalogue the recurring pitfalls of security ML — sampling bias, spurious correlations, data snooping — and find them endemic in published work [13]. Two lines are directly upstream of ours. TESSERACT demonstrated that ignoring temporal structure inflates malware-classification results, and argued for chronologically consistent splits as a validity requirement rather than a robustness extra [14].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[15].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[16], and a detector whose confidence is dishonest cannot drive thresholded automation; temperature scaling [16] and selective classification with a reject option [17, 18] are the standard correctives, and uncertainty quantification is increasingly argued to be a first-class requirement for trustworthy NIDS [19]. Class imbalance interacts with all of this: under the natural distribution of GeNIS (7.4% benign traffic at the 60-second interval), accuracy is close to vacuous and metrics such as macro-F1 and the Matthews correlation coefficient are the informative ones [20]. Finally, the tabular-learning literature gives strong prior reason to include tree ensembles alongside deep detectors: gradient-boosted trees remain consistently competitive or superior on tabular data [21, 22], with attention-based architectures such as the FT-Transformer as the strongest deep contenders [23]. Inference cost is one dimension the GeNIS baseline already reports [6]; calibration, selective operating points, and confidence-bearing comparison are not, and this paper adds them to the same protocol.</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[24],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 four classes (benign, DoS, reconnaissance, brute force) —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 the audit that this paper supplies, and which turns their own SHAP-based concern into a measurement. Table 1 situates these dimensions.</w:t>
      </w:r>
    </w:p>
    <w:p>
      <w:pPr>
        <w:keepNext/>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w:t>
      </w:r>
      <w:r>
        <w:rPr>
          <w:rFonts w:ascii="Calibri" w:cs="Calibri" w:eastAsia="Calibri" w:hAnsi="Calibri"/>
          <w:b w:val="false"/>
          <w:bCs w:val="false"/>
          <w:i w:val="false"/>
          <w:iCs w:val="false"/>
          <w:sz w:val="18"/>
          <w:szCs w:val="18"/>
        </w:rPr>
        <w:t xml:space="preserve">±</w:t>
      </w:r>
      <w:r>
        <w:rPr>
          <w:rFonts w:ascii="Calibri" w:cs="Calibri" w:eastAsia="Calibri" w:hAnsi="Calibri"/>
          <w:b w:val="false"/>
          <w:bCs w:val="false"/>
          <w:i w:val="false"/>
          <w:iCs w:val="false"/>
          <w:sz w:val="18"/>
          <w:szCs w:val="18"/>
        </w:rPr>
        <w:t xml:space="preserve">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[10]</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[15]</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[19]</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[25] under three profiles — office-user activity, system administration, and passive background traffic —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10,000-password dictionary. The raw packets (37.7 million) were aggregated into labelled flows by the HERA exporter [5], built on Argus, at four flow intervals — 5, 10, 30 and 60 seconds — yielding from 338,820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338,820. The 29,736-flow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the descriptor's Table 12 (8,283 released versus 10,286 reported). The same discrepancy is present at every interval — 32,590 flows at 5 s, 32,051 at 10 s and 30,481 at 30 s — of which the constant 27,733 reconnaissance flows are the larger part. Table 4 reports our recounts. All figures in this paper come from the released files, and we state the released counts rather than the documented ones wherever the two disagree.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1). Three consequences structure the rest of this paper. (i) Any feature correlated with position in the capture — timestamps, but also exporter counters —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wp:inline distT="0" distB="0" distL="0" distR="0">
            <wp:extent cx="6124575"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23812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This is the strictest temporal evaluation the corpus supports without emptying classes, and we verify the ordering invariant explicitly.</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w:t>
      </w:r>
      <w:r>
        <w:rPr>
          <w:rFonts w:ascii="Times New Roman" w:cs="Times New Roman" w:eastAsia="Times New Roman" w:hAnsi="Times New Roman"/>
          <w:b w:val="false"/>
          <w:bCs w:val="false"/>
          <w:i w:val="false"/>
          <w:iCs w:val="false"/>
          <w:sz w:val="22"/>
          <w:szCs w:val="22"/>
        </w:rPr>
        <w:t xml:space="preserve">f</w:t>
      </w:r>
      <w:r>
        <w:rPr>
          <w:rFonts w:ascii="Times New Roman" w:cs="Times New Roman" w:eastAsia="Times New Roman" w:hAnsi="Times New Roman"/>
          <w:b w:val="false"/>
          <w:bCs w:val="false"/>
          <w:i w:val="false"/>
          <w:iCs w:val="false"/>
          <w:sz w:val="22"/>
          <w:szCs w:val="22"/>
        </w:rPr>
        <w:t xml:space="preserve"> we train a decision tree on </w:t>
      </w:r>
      <w:r>
        <w:rPr>
          <w:rFonts w:ascii="Times New Roman" w:cs="Times New Roman" w:eastAsia="Times New Roman" w:hAnsi="Times New Roman"/>
          <w:b w:val="false"/>
          <w:bCs w:val="false"/>
          <w:i w:val="false"/>
          <w:iCs w:val="false"/>
          <w:sz w:val="22"/>
          <w:szCs w:val="22"/>
        </w:rPr>
        <w:t xml:space="preserve">f</w:t>
      </w: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w:t>
      </w:r>
      <w:r>
        <w:rPr>
          <w:rFonts w:ascii="Times New Roman" w:cs="Times New Roman" w:eastAsia="Times New Roman" w:hAnsi="Times New Roman"/>
          <w:b w:val="false"/>
          <w:bCs w:val="false"/>
          <w:i w:val="false"/>
          <w:iCs w:val="false"/>
          <w:sz w:val="22"/>
          <w:szCs w:val="22"/>
        </w:rPr>
        <w:t xml:space="preserve">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w:t>
      </w:r>
      <w:r>
        <w:rPr>
          <w:rFonts w:ascii="Times New Roman" w:cs="Times New Roman" w:eastAsia="Times New Roman" w:hAnsi="Times New Roman"/>
          <w:b w:val="false"/>
          <w:bCs w:val="false"/>
          <w:i w:val="false"/>
          <w:iCs w:val="false"/>
          <w:sz w:val="22"/>
          <w:szCs w:val="22"/>
        </w:rPr>
        <w:t xml:space="preserve">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rPr>
        <w:t xml:space="preserve">τ(f) &lt; 0.5</w:t>
      </w:r>
      <w:r>
        <w:rPr>
          <w:rFonts w:ascii="Times New Roman" w:cs="Times New Roman" w:eastAsia="Times New Roman" w:hAnsi="Times New Roman"/>
          <w:b w:val="false"/>
          <w:bCs w:val="false"/>
          <w:i w:val="false"/>
          <w:iCs w:val="false"/>
          <w:sz w:val="22"/>
          <w:szCs w:val="22"/>
        </w:rPr>
        <w:t xml:space="preserve">: it carries substantial class information that does not survive a change of evaluation protocol, which is the operational definition of a shortcut.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 Section 6.2 shows why any shortlist derived from attribution scores would have been empty.</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w:t>
      </w:r>
      <w:r>
        <w:rPr>
          <w:rFonts w:ascii="Times New Roman" w:cs="Times New Roman" w:eastAsia="Times New Roman" w:hAnsi="Times New Roman"/>
          <w:b w:val="false"/>
          <w:bCs w:val="false"/>
          <w:i w:val="false"/>
          <w:iCs w:val="false"/>
          <w:sz w:val="22"/>
          <w:szCs w:val="22"/>
        </w:rPr>
        <w:t xml:space="preserve">+</w:t>
      </w:r>
      <w:r>
        <w:rPr>
          <w:rFonts w:ascii="Times New Roman" w:cs="Times New Roman" w:eastAsia="Times New Roman" w:hAnsi="Times New Roman"/>
          <w:b w:val="false"/>
          <w:bCs w:val="false"/>
          <w:i w:val="false"/>
          <w:iCs w:val="false"/>
          <w:sz w:val="22"/>
          <w:szCs w:val="22"/>
        </w:rPr>
        <w:t xml:space="preserve">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6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w:t>
      </w:r>
      <w:r>
        <w:rPr>
          <w:rFonts w:ascii="Times New Roman" w:cs="Times New Roman" w:eastAsia="Times New Roman" w:hAnsi="Times New Roman"/>
          <w:b w:val="false"/>
          <w:bCs w:val="false"/>
          <w:i w:val="false"/>
          <w:iCs w:val="false"/>
          <w:sz w:val="22"/>
          <w:szCs w:val="22"/>
        </w:rPr>
        <w:t xml:space="preserve">-nearest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Pairwise model differences on the shared test partition are tested with McNemar's test under Holm correction, and macro-F1 carries 95% bootstrap confidence intervals over 1 000 resamples.</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5 029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w:t>
      </w:r>
      <w:r>
        <w:rPr>
          <w:rFonts w:ascii="Times New Roman" w:cs="Times New Roman" w:eastAsia="Times New Roman" w:hAnsi="Times New Roman"/>
          <w:b w:val="false"/>
          <w:bCs w:val="false"/>
          <w:i w:val="false"/>
          <w:iCs w:val="false"/>
          <w:sz w:val="22"/>
          <w:szCs w:val="22"/>
        </w:rPr>
        <w:t xml:space="preserve">k</w:t>
      </w:r>
      <w:r>
        <w:rPr>
          <w:rFonts w:ascii="Times New Roman" w:cs="Times New Roman" w:eastAsia="Times New Roman" w:hAnsi="Times New Roman"/>
          <w:b w:val="false"/>
          <w:bCs w:val="false"/>
          <w:i w:val="false"/>
          <w:iCs w:val="false"/>
          <w:sz w:val="22"/>
          <w:szCs w:val="22"/>
        </w:rPr>
        <w:t xml:space="preserve">-nearest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 SimpleRNN(64) </w:t>
      </w:r>
      <w:r>
        <w:rPr>
          <w:rFonts w:ascii="Times New Roman" w:cs="Times New Roman" w:eastAsia="Times New Roman" w:hAnsi="Times New Roman"/>
          <w:b w:val="false"/>
          <w:bCs w:val="false"/>
          <w:i w:val="false"/>
          <w:iCs w:val="false"/>
          <w:sz w:val="22"/>
          <w:szCs w:val="22"/>
        </w:rPr>
        <w:t xml:space="preserve">→</w:t>
      </w:r>
      <w:r>
        <w:rPr>
          <w:rFonts w:ascii="Times New Roman" w:cs="Times New Roman" w:eastAsia="Times New Roman" w:hAnsi="Times New Roman"/>
          <w:b w:val="false"/>
          <w:bCs w:val="false"/>
          <w:i w:val="false"/>
          <w:iCs w:val="false"/>
          <w:sz w:val="22"/>
          <w:szCs w:val="22"/>
        </w:rPr>
        <w:t xml:space="preserve"> Dense(64); Conv1D(64,3) </w:t>
      </w:r>
      <w:r>
        <w:rPr>
          <w:rFonts w:ascii="Times New Roman" w:cs="Times New Roman" w:eastAsia="Times New Roman" w:hAnsi="Times New Roman"/>
          <w:b w:val="false"/>
          <w:bCs w:val="false"/>
          <w:i w:val="false"/>
          <w:iCs w:val="false"/>
          <w:sz w:val="22"/>
          <w:szCs w:val="22"/>
        </w:rPr>
        <w:t xml:space="preserve">→</w:t>
      </w:r>
      <w:r>
        <w:rPr>
          <w:rFonts w:ascii="Times New Roman" w:cs="Times New Roman" w:eastAsia="Times New Roman" w:hAnsi="Times New Roman"/>
          <w:b w:val="false"/>
          <w:bCs w:val="false"/>
          <w:i w:val="false"/>
          <w:iCs w:val="false"/>
          <w:sz w:val="22"/>
          <w:szCs w:val="22"/>
        </w:rPr>
        <w:t xml:space="preserve">  Conv1D(32,3) </w:t>
      </w:r>
      <w:r>
        <w:rPr>
          <w:rFonts w:ascii="Times New Roman" w:cs="Times New Roman" w:eastAsia="Times New Roman" w:hAnsi="Times New Roman"/>
          <w:b w:val="false"/>
          <w:bCs w:val="false"/>
          <w:i w:val="false"/>
          <w:iCs w:val="false"/>
          <w:sz w:val="22"/>
          <w:szCs w:val="22"/>
        </w:rPr>
        <w:t xml:space="preserve">→</w:t>
      </w:r>
      <w:r>
        <w:rPr>
          <w:rFonts w:ascii="Times New Roman" w:cs="Times New Roman" w:eastAsia="Times New Roman" w:hAnsi="Times New Roman"/>
          <w:b w:val="false"/>
          <w:bCs w:val="false"/>
          <w:i w:val="false"/>
          <w:iCs w:val="false"/>
          <w:sz w:val="22"/>
          <w:szCs w:val="22"/>
        </w:rPr>
        <w:t xml:space="preserve">  Dense(64); and Dense(128) </w:t>
      </w:r>
      <w:r>
        <w:rPr>
          <w:rFonts w:ascii="Times New Roman" w:cs="Times New Roman" w:eastAsia="Times New Roman" w:hAnsi="Times New Roman"/>
          <w:b w:val="false"/>
          <w:bCs w:val="false"/>
          <w:i w:val="false"/>
          <w:iCs w:val="false"/>
          <w:sz w:val="22"/>
          <w:szCs w:val="22"/>
        </w:rPr>
        <w:t xml:space="preserve">→</w:t>
      </w:r>
      <w:r>
        <w:rPr>
          <w:rFonts w:ascii="Times New Roman" w:cs="Times New Roman" w:eastAsia="Times New Roman" w:hAnsi="Times New Roman"/>
          <w:b w:val="false"/>
          <w:bCs w:val="false"/>
          <w:i w:val="false"/>
          <w:iCs w:val="false"/>
          <w:sz w:val="22"/>
          <w:szCs w:val="22"/>
        </w:rPr>
        <w:t xml:space="preserve"> Dense(64) —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w:t>
      </w:r>
      <w:r>
        <w:rPr>
          <w:rFonts w:ascii="Times New Roman" w:cs="Times New Roman" w:eastAsia="Times New Roman" w:hAnsi="Times New Roman"/>
          <w:b w:val="false"/>
          <w:bCs w:val="false"/>
          <w:i w:val="false"/>
          <w:iCs w:val="false"/>
          <w:sz w:val="22"/>
          <w:szCs w:val="22"/>
        </w:rPr>
        <w:t xml:space="preserve">d=64</w:t>
      </w:r>
      <w:r>
        <w:rPr>
          <w:rFonts w:ascii="Times New Roman" w:cs="Times New Roman" w:eastAsia="Times New Roman" w:hAnsi="Times New Roman"/>
          <w:b w:val="false"/>
          <w:bCs w:val="false"/>
          <w:i w:val="false"/>
          <w:iCs w:val="false"/>
          <w:sz w:val="22"/>
          <w:szCs w:val="22"/>
        </w:rPr>
        <w:t xml:space="preserve">, eight heads), the strongest current deep architecture for tabular data [23].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w:t>
      </w:r>
      <w:r>
        <w:rPr>
          <w:rFonts w:ascii="Times New Roman" w:cs="Times New Roman" w:eastAsia="Times New Roman" w:hAnsi="Times New Roman"/>
          <w:b w:val="false"/>
          <w:bCs w:val="false"/>
          <w:i w:val="false"/>
          <w:iCs w:val="false"/>
          <w:sz w:val="22"/>
          <w:szCs w:val="22"/>
        </w:rPr>
        <w:t xml:space="preserve">O(n²)</w:t>
      </w:r>
      <w:r>
        <w:rPr>
          <w:rFonts w:ascii="Times New Roman" w:cs="Times New Roman" w:eastAsia="Times New Roman" w:hAnsi="Times New Roman"/>
          <w:b w:val="false"/>
          <w:bCs w:val="false"/>
          <w:i w:val="false"/>
          <w:iCs w:val="false"/>
          <w:sz w:val="22"/>
          <w:szCs w:val="22"/>
        </w:rPr>
        <w:t xml:space="preserve"> training is infeasible on 203 292 training flows within an equal budget, and logistic regression covers the linear family. The </w:t>
      </w:r>
      <w:r>
        <w:rPr>
          <w:rFonts w:ascii="Times New Roman" w:cs="Times New Roman" w:eastAsia="Times New Roman" w:hAnsi="Times New Roman"/>
          <w:b w:val="false"/>
          <w:bCs w:val="false"/>
          <w:i w:val="false"/>
          <w:iCs w:val="false"/>
          <w:sz w:val="22"/>
          <w:szCs w:val="22"/>
        </w:rPr>
        <w:t xml:space="preserve">k</w:t>
      </w:r>
      <w:r>
        <w:rPr>
          <w:rFonts w:ascii="Times New Roman" w:cs="Times New Roman" w:eastAsia="Times New Roman" w:hAnsi="Times New Roman"/>
          <w:b w:val="false"/>
          <w:bCs w:val="false"/>
          <w:i w:val="false"/>
          <w:iCs w:val="false"/>
          <w:sz w:val="22"/>
          <w:szCs w:val="22"/>
        </w:rPr>
        <w:t xml:space="preserve">-means/EM/SOM trio used by earlier benchmarks [10]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task is essentially solved: XGBoost and LightGBM reach macro-F1 </w:t>
      </w:r>
      <w:r>
        <w:rPr>
          <w:rFonts w:ascii="Times New Roman" w:cs="Times New Roman" w:eastAsia="Times New Roman" w:hAnsi="Times New Roman"/>
          <w:b w:val="false"/>
          <w:bCs w:val="false"/>
          <w:i w:val="false"/>
          <w:iCs w:val="false"/>
          <w:sz w:val="22"/>
          <w:szCs w:val="22"/>
        </w:rPr>
        <w:t xml:space="preserve">1.0000 ± 0.0000</w:t>
      </w:r>
      <w:r>
        <w:rPr>
          <w:rFonts w:ascii="Times New Roman" w:cs="Times New Roman" w:eastAsia="Times New Roman" w:hAnsi="Times New Roman"/>
          <w:b w:val="false"/>
          <w:bCs w:val="false"/>
          <w:i w:val="false"/>
          <w:iCs w:val="false"/>
          <w:sz w:val="22"/>
          <w:szCs w:val="22"/>
        </w:rPr>
        <w:t xml:space="preserve"> across five seeds, random forest and the FT-Transformer </w:t>
      </w:r>
      <w:r>
        <w:rPr>
          <w:rFonts w:ascii="Times New Roman" w:cs="Times New Roman" w:eastAsia="Times New Roman" w:hAnsi="Times New Roman"/>
          <w:b w:val="false"/>
          <w:bCs w:val="false"/>
          <w:i w:val="false"/>
          <w:iCs w:val="false"/>
          <w:sz w:val="22"/>
          <w:szCs w:val="22"/>
        </w:rPr>
        <w:t xml:space="preserve">0.9999</w:t>
      </w:r>
      <w:r>
        <w:rPr>
          <w:rFonts w:ascii="Times New Roman" w:cs="Times New Roman" w:eastAsia="Times New Roman" w:hAnsi="Times New Roman"/>
          <w:b w:val="false"/>
          <w:bCs w:val="false"/>
          <w:i w:val="false"/>
          <w:iCs w:val="false"/>
          <w:sz w:val="22"/>
          <w:szCs w:val="22"/>
        </w:rPr>
        <w:t xml:space="preserve">, and nine of the eleven detectors exceed </w:t>
      </w:r>
      <w:r>
        <w:rPr>
          <w:rFonts w:ascii="Times New Roman" w:cs="Times New Roman" w:eastAsia="Times New Roman" w:hAnsi="Times New Roman"/>
          <w:b w:val="false"/>
          <w:bCs w:val="false"/>
          <w:i w:val="false"/>
          <w:iCs w:val="false"/>
          <w:sz w:val="22"/>
          <w:szCs w:val="22"/>
        </w:rPr>
        <w:t xml:space="preserve">0.99</w:t>
      </w:r>
      <w:r>
        <w:rPr>
          <w:rFonts w:ascii="Times New Roman" w:cs="Times New Roman" w:eastAsia="Times New Roman" w:hAnsi="Times New Roman"/>
          <w:b w:val="false"/>
          <w:bCs w:val="false"/>
          <w:i w:val="false"/>
          <w:iCs w:val="false"/>
          <w:sz w:val="22"/>
          <w:szCs w:val="22"/>
        </w:rPr>
        <w:t xml:space="preserve">. McNemar tests with Holm correction confirm what the point estimates suggest: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w:t>
      </w:r>
      <w:r>
        <w:rPr>
          <w:rFonts w:ascii="Times New Roman" w:cs="Times New Roman" w:eastAsia="Times New Roman" w:hAnsi="Times New Roman"/>
          <w:b w:val="false"/>
          <w:bCs w:val="false"/>
          <w:i w:val="false"/>
          <w:iCs w:val="false"/>
          <w:sz w:val="22"/>
          <w:szCs w:val="22"/>
        </w:rPr>
        <w:t xml:space="preserve">α = 0.05</w:t>
      </w:r>
      <w:r>
        <w:rPr>
          <w:rFonts w:ascii="Times New Roman" w:cs="Times New Roman" w:eastAsia="Times New Roman" w:hAnsi="Times New Roman"/>
          <w:b w:val="false"/>
          <w:bCs w:val="false"/>
          <w:i w:val="false"/>
          <w:iCs w:val="false"/>
          <w:sz w:val="22"/>
          <w:szCs w:val="22"/>
        </w:rPr>
        <w:t xml:space="preserve">, and these include every pair among {XGBoost, LightGBM, random forest, FT-Transformer} as well as logistic regression against the FT-Transformer, the CNN and the DNN. The bootstrap intervals (Figure 6)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Second, the discriminating power of the benchmark must come from somewhere other than the stratified accuracy —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w:t>
      </w:r>
      <w:r>
        <w:rPr>
          <w:rFonts w:ascii="Times New Roman" w:cs="Times New Roman" w:eastAsia="Times New Roman" w:hAnsi="Times New Roman"/>
          <w:b w:val="false"/>
          <w:bCs w:val="false"/>
          <w:i w:val="false"/>
          <w:iCs w:val="false"/>
          <w:sz w:val="22"/>
          <w:szCs w:val="22"/>
        </w:rPr>
        <w:t xml:space="preserve">0.5492</w:t>
      </w:r>
      <w:r>
        <w:rPr>
          <w:rFonts w:ascii="Times New Roman" w:cs="Times New Roman" w:eastAsia="Times New Roman" w:hAnsi="Times New Roman"/>
          <w:b w:val="false"/>
          <w:bCs w:val="false"/>
          <w:i w:val="false"/>
          <w:iCs w:val="false"/>
          <w:sz w:val="22"/>
          <w:szCs w:val="22"/>
        </w:rPr>
        <w:t xml:space="preserve"> with a 61.4% false-positive rate (3 089 of 5 029 benign flows misclassified), confirming that the near-perfect scores are a property of the corpus and the strong models, not of the metric. Figure 2 shows where the residual difficulty sits: for every strong detector the per-class F1 is above </w:t>
      </w:r>
      <w:r>
        <w:rPr>
          <w:rFonts w:ascii="Times New Roman" w:cs="Times New Roman" w:eastAsia="Times New Roman" w:hAnsi="Times New Roman"/>
          <w:b w:val="false"/>
          <w:bCs w:val="false"/>
          <w:i w:val="false"/>
          <w:iCs w:val="false"/>
          <w:sz w:val="22"/>
          <w:szCs w:val="22"/>
        </w:rPr>
        <w:t xml:space="preserve">0.99</w:t>
      </w:r>
      <w:r>
        <w:rPr>
          <w:rFonts w:ascii="Times New Roman" w:cs="Times New Roman" w:eastAsia="Times New Roman" w:hAnsi="Times New Roman"/>
          <w:b w:val="false"/>
          <w:bCs w:val="false"/>
          <w:i w:val="false"/>
          <w:iCs w:val="false"/>
          <w:sz w:val="22"/>
          <w:szCs w:val="22"/>
        </w:rPr>
        <w:t xml:space="preserve"> on all nine classes, and naive Bayes is the only model with a class-level failure, collapsing on the benign class itself.</w:t>
      </w:r>
    </w:p>
    <w:p>
      <w:pPr>
        <w:keepNext/>
        <w:spacing w:after="80" w:before="200"/>
        <w:jc w:val="center"/>
      </w:pPr>
      <w:r>
        <w:drawing>
          <wp:inline distT="0" distB="0" distL="0" distR="0">
            <wp:extent cx="6124575"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33337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only naive Bayes fails, and it fails on benign traffic.</w:t>
      </w:r>
    </w:p>
    <w:p>
      <w:pPr>
        <w:keepNext/>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w:t>
      </w:r>
      <w:r>
        <w:rPr>
          <w:rFonts w:ascii="Calibri" w:cs="Calibri" w:eastAsia="Calibri" w:hAnsi="Calibri"/>
          <w:b w:val="false"/>
          <w:bCs w:val="false"/>
          <w:i w:val="false"/>
          <w:iCs w:val="false"/>
          <w:sz w:val="18"/>
          <w:szCs w:val="18"/>
        </w:rPr>
        <w:t xml:space="preserve">±</w:t>
      </w:r>
      <w:r>
        <w:rPr>
          <w:rFonts w:ascii="Calibri" w:cs="Calibri" w:eastAsia="Calibri" w:hAnsi="Calibri"/>
          <w:b w:val="false"/>
          <w:bCs w:val="false"/>
          <w:i w:val="false"/>
          <w:iCs w:val="false"/>
          <w:sz w:val="18"/>
          <w:szCs w:val="18"/>
        </w:rPr>
        <w:t xml:space="preserve">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0.9897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0.9775</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0.0994</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 ± 0.0004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0.1392</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 ± 0.0031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0.1590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0.0795</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w:t>
            </w:r>
            <w:r>
              <w:rPr>
                <w:rFonts w:ascii="Calibri" w:cs="Calibri" w:eastAsia="Calibri" w:hAnsi="Calibri"/>
                <w:b w:val="false"/>
                <w:bCs w:val="false"/>
                <w:i w:val="false"/>
                <w:iCs w:val="false"/>
                <w:sz w:val="18"/>
                <w:szCs w:val="18"/>
              </w:rPr>
              <w:t xml:space="preserve">-NN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0.9974</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0.0596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 ± 0.0189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0.7160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0.6667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61.4314</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cannot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w:t>
      </w:r>
      <w:r>
        <w:rPr>
          <w:rFonts w:ascii="Times New Roman" w:cs="Times New Roman" w:eastAsia="Times New Roman" w:hAnsi="Times New Roman"/>
          <w:b w:val="false"/>
          <w:bCs w:val="false"/>
          <w:i w:val="false"/>
          <w:iCs w:val="false"/>
          <w:sz w:val="22"/>
          <w:szCs w:val="22"/>
        </w:rPr>
        <w:t xml:space="preserve">0.9970 ± 0.0002</w:t>
      </w:r>
      <w:r>
        <w:rPr>
          <w:rFonts w:ascii="Times New Roman" w:cs="Times New Roman" w:eastAsia="Times New Roman" w:hAnsi="Times New Roman"/>
          <w:b w:val="false"/>
          <w:bCs w:val="false"/>
          <w:i w:val="false"/>
          <w:iCs w:val="false"/>
          <w:sz w:val="22"/>
          <w:szCs w:val="22"/>
        </w:rPr>
        <w:t xml:space="preserve"> under the stratified protocol, against a majority-class rate of </w:t>
      </w:r>
      <w:r>
        <w:rPr>
          <w:rFonts w:ascii="Times New Roman" w:cs="Times New Roman" w:eastAsia="Times New Roman" w:hAnsi="Times New Roman"/>
          <w:b w:val="false"/>
          <w:bCs w:val="false"/>
          <w:i w:val="false"/>
          <w:iCs w:val="false"/>
          <w:sz w:val="22"/>
          <w:szCs w:val="22"/>
        </w:rPr>
        <w:t xml:space="preserve">0.1942</w:t>
      </w:r>
      <w:r>
        <w:rPr>
          <w:rFonts w:ascii="Times New Roman" w:cs="Times New Roman" w:eastAsia="Times New Roman" w:hAnsi="Times New Roman"/>
          <w:b w:val="false"/>
          <w:bCs w:val="false"/>
          <w:i w:val="false"/>
          <w:iCs w:val="false"/>
          <w:sz w:val="22"/>
          <w:szCs w:val="22"/>
        </w:rPr>
        <w:t xml:space="preserve">. The same probe reaches </w:t>
      </w:r>
      <w:r>
        <w:rPr>
          <w:rFonts w:ascii="Times New Roman" w:cs="Times New Roman" w:eastAsia="Times New Roman" w:hAnsi="Times New Roman"/>
          <w:b w:val="false"/>
          <w:bCs w:val="false"/>
          <w:i w:val="false"/>
          <w:iCs w:val="false"/>
          <w:sz w:val="22"/>
          <w:szCs w:val="22"/>
        </w:rPr>
        <w:t xml:space="preserve">0.9991</w:t>
      </w: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rPr>
        <w:t xml:space="preserve">0.9988</w:t>
      </w:r>
      <w:r>
        <w:rPr>
          <w:rFonts w:ascii="Times New Roman" w:cs="Times New Roman" w:eastAsia="Times New Roman" w:hAnsi="Times New Roman"/>
          <w:b w:val="false"/>
          <w:bCs w:val="false"/>
          <w:i w:val="false"/>
          <w:iCs w:val="false"/>
          <w:sz w:val="22"/>
          <w:szCs w:val="22"/>
        </w:rPr>
        <w:t xml:space="preserve"> and </w:t>
      </w:r>
      <w:r>
        <w:rPr>
          <w:rFonts w:ascii="Times New Roman" w:cs="Times New Roman" w:eastAsia="Times New Roman" w:hAnsi="Times New Roman"/>
          <w:b w:val="false"/>
          <w:bCs w:val="false"/>
          <w:i w:val="false"/>
          <w:iCs w:val="false"/>
          <w:sz w:val="22"/>
          <w:szCs w:val="22"/>
        </w:rPr>
        <w:t xml:space="preserve">0.9983</w:t>
      </w:r>
      <w:r>
        <w:rPr>
          <w:rFonts w:ascii="Times New Roman" w:cs="Times New Roman" w:eastAsia="Times New Roman" w:hAnsi="Times New Roman"/>
          <w:b w:val="false"/>
          <w:bCs w:val="false"/>
          <w:i w:val="false"/>
          <w:iCs w:val="false"/>
          <w:sz w:val="22"/>
          <w:szCs w:val="22"/>
        </w:rPr>
        <w:t xml:space="preserve"> at the 5-, 10- and 30-second intervals (Table 4):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result we did not anticipate is that the per-class temporal protocol barely reduces the shortcut: the same timestamp probe still reaches </w:t>
      </w:r>
      <w:r>
        <w:rPr>
          <w:rFonts w:ascii="Times New Roman" w:cs="Times New Roman" w:eastAsia="Times New Roman" w:hAnsi="Times New Roman"/>
          <w:b w:val="false"/>
          <w:bCs w:val="false"/>
          <w:i w:val="false"/>
          <w:iCs w:val="false"/>
          <w:sz w:val="22"/>
          <w:szCs w:val="22"/>
        </w:rPr>
        <w:t xml:space="preserve">0.9862</w:t>
      </w:r>
      <w:r>
        <w:rPr>
          <w:rFonts w:ascii="Times New Roman" w:cs="Times New Roman" w:eastAsia="Times New Roman" w:hAnsi="Times New Roman"/>
          <w:b w:val="false"/>
          <w:bCs w:val="false"/>
          <w:i w:val="false"/>
          <w:iCs w:val="false"/>
          <w:sz w:val="22"/>
          <w:szCs w:val="22"/>
        </w:rPr>
        <w:t xml:space="preserve">. The reason is structural. Because each class occupies narrow, mutually disjoint windows (Figure 1), the capture interval immediately following a class's training window still belongs to that class, so a tree extrapolating from the training range continues to predict correctly. </w:t>
      </w:r>
      <w:r>
        <w:rPr>
          <w:rFonts w:ascii="Times New Roman" w:cs="Times New Roman" w:eastAsia="Times New Roman" w:hAnsi="Times New Roman"/>
          <w:b w:val="false"/>
          <w:bCs w:val="false"/>
          <w:i/>
          <w:iCs/>
          <w:sz w:val="22"/>
          <w:szCs w:val="22"/>
        </w:rPr>
        <w:t xml:space="preserve">No time-based split can neutralise a shortcut whose classes are temporally disjoint.</w:t>
      </w:r>
      <w:r>
        <w:rPr>
          <w:rFonts w:ascii="Times New Roman" w:cs="Times New Roman" w:eastAsia="Times New Roman" w:hAnsi="Times New Roman"/>
          <w:b w:val="false"/>
          <w:bCs w:val="false"/>
          <w:i w:val="false"/>
          <w:iCs w:val="false"/>
          <w:sz w:val="22"/>
          <w:szCs w:val="22"/>
        </w:rPr>
        <w:t xml:space="preserve"> This matters beyond GeNIS: the standard advice to adopt chronological evaluation [14] is necessary but, on corpora generated one attack at a time, not sufficient. Excluding the offending features is what does the work here, which is what makes the blacklist an artefact rather than a formality.</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w:t>
      </w:r>
      <w:r>
        <w:rPr>
          <w:rFonts w:ascii="Times New Roman" w:cs="Times New Roman" w:eastAsia="Times New Roman" w:hAnsi="Times New Roman"/>
          <w:b w:val="false"/>
          <w:bCs w:val="false"/>
          <w:i w:val="false"/>
          <w:iCs w:val="false"/>
          <w:sz w:val="22"/>
          <w:szCs w:val="22"/>
        </w:rPr>
        <w:t xml:space="preserve">&lt;10⁻⁴</w:t>
      </w:r>
      <w:r>
        <w:rPr>
          <w:rFonts w:ascii="Times New Roman" w:cs="Times New Roman" w:eastAsia="Times New Roman" w:hAnsi="Times New Roman"/>
          <w:b w:val="false"/>
          <w:bCs w:val="false"/>
          <w:i w:val="false"/>
          <w:iCs w:val="false"/>
          <w:sz w:val="22"/>
          <w:szCs w:val="22"/>
        </w:rPr>
        <w:t xml:space="preserve">), while individually predicting the class at </w:t>
      </w:r>
      <w:r>
        <w:rPr>
          <w:rFonts w:ascii="Times New Roman" w:cs="Times New Roman" w:eastAsia="Times New Roman" w:hAnsi="Times New Roman"/>
          <w:b w:val="false"/>
          <w:bCs w:val="false"/>
          <w:i w:val="false"/>
          <w:iCs w:val="false"/>
          <w:sz w:val="22"/>
          <w:szCs w:val="22"/>
        </w:rPr>
        <w:t xml:space="preserve">0.922</w:t>
      </w:r>
      <w:r>
        <w:rPr>
          <w:rFonts w:ascii="Times New Roman" w:cs="Times New Roman" w:eastAsia="Times New Roman" w:hAnsi="Times New Roman"/>
          <w:b w:val="false"/>
          <w:bCs w:val="false"/>
          <w:i w:val="false"/>
          <w:iCs w:val="false"/>
          <w:sz w:val="22"/>
          <w:szCs w:val="22"/>
        </w:rPr>
        <w:t xml:space="preserve"> to </w:t>
      </w:r>
      <w:r>
        <w:rPr>
          <w:rFonts w:ascii="Times New Roman" w:cs="Times New Roman" w:eastAsia="Times New Roman" w:hAnsi="Times New Roman"/>
          <w:b w:val="false"/>
          <w:bCs w:val="false"/>
          <w:i w:val="false"/>
          <w:iCs w:val="false"/>
          <w:sz w:val="22"/>
          <w:szCs w:val="22"/>
        </w:rPr>
        <w:t xml:space="preserve">0.963</w:t>
      </w:r>
      <w:r>
        <w:rPr>
          <w:rFonts w:ascii="Times New Roman" w:cs="Times New Roman" w:eastAsia="Times New Roman" w:hAnsi="Times New Roman"/>
          <w:b w:val="false"/>
          <w:bCs w:val="false"/>
          <w:i w:val="false"/>
          <w:iCs w:val="false"/>
          <w:sz w:val="22"/>
          <w:szCs w:val="22"/>
        </w:rPr>
        <w:t xml:space="preserve"> —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rPr>
        <w:t xml:space="preserve">0.961</w:t>
      </w:r>
      <w:r>
        <w:rPr>
          <w:rFonts w:ascii="Times New Roman" w:cs="Times New Roman" w:eastAsia="Times New Roman" w:hAnsi="Times New Roman"/>
          <w:b w:val="false"/>
          <w:bCs w:val="false"/>
          <w:i w:val="false"/>
          <w:iCs w:val="false"/>
          <w:sz w:val="22"/>
          <w:szCs w:val="22"/>
        </w:rPr>
        <w:t xml:space="preserve">),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A shortcut audit built on attribution scores — the natural design, and the one the corpus baseline's SHAP analysis approximates [6] — would have found </w:t>
      </w:r>
      <w:r>
        <w:rPr>
          <w:rFonts w:ascii="Times New Roman" w:cs="Times New Roman" w:eastAsia="Times New Roman" w:hAnsi="Times New Roman"/>
          <w:b w:val="false"/>
          <w:bCs w:val="false"/>
          <w:i/>
          <w:iCs/>
          <w:sz w:val="22"/>
          <w:szCs w:val="22"/>
        </w:rPr>
        <w:t xml:space="preserve">none</w:t>
      </w:r>
      <w:r>
        <w:rPr>
          <w:rFonts w:ascii="Times New Roman" w:cs="Times New Roman" w:eastAsia="Times New Roman" w:hAnsi="Times New Roman"/>
          <w:b w:val="false"/>
          <w:bCs w:val="false"/>
          <w:i w:val="false"/>
          <w:iCs w:val="false"/>
          <w:sz w:val="22"/>
          <w:szCs w:val="22"/>
        </w:rPr>
        <w:t xml:space="preserve"> of these eight features. Only evaluating each feature in isolation, under two protocols, exposes them.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3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The threshold sits in a gap. </w:t>
      </w:r>
      <w:r>
        <w:rPr>
          <w:rFonts w:ascii="Times New Roman" w:cs="Times New Roman" w:eastAsia="Times New Roman" w:hAnsi="Times New Roman"/>
          <w:b w:val="false"/>
          <w:bCs w:val="false"/>
          <w:i w:val="false"/>
          <w:iCs w:val="false"/>
          <w:sz w:val="22"/>
          <w:szCs w:val="22"/>
        </w:rPr>
        <w:t xml:space="preserve">Figure 4 shows the sorted transferability spectrum. The excluded features have </w:t>
      </w:r>
      <w:r>
        <w:rPr>
          <w:rFonts w:ascii="Times New Roman" w:cs="Times New Roman" w:eastAsia="Times New Roman" w:hAnsi="Times New Roman"/>
          <w:b w:val="false"/>
          <w:bCs w:val="false"/>
          <w:i w:val="false"/>
          <w:iCs w:val="false"/>
          <w:sz w:val="22"/>
          <w:szCs w:val="22"/>
        </w:rPr>
        <w:t xml:space="preserve">τ ∈ {0.33, 0.43, 0.49}</w:t>
      </w:r>
      <w:r>
        <w:rPr>
          <w:rFonts w:ascii="Times New Roman" w:cs="Times New Roman" w:eastAsia="Times New Roman" w:hAnsi="Times New Roman"/>
          <w:b w:val="false"/>
          <w:bCs w:val="false"/>
          <w:i w:val="false"/>
          <w:iCs w:val="false"/>
          <w:sz w:val="22"/>
          <w:szCs w:val="22"/>
        </w:rPr>
        <w:t xml:space="preserve"> and the lowest retained value is </w:t>
      </w:r>
      <w:r>
        <w:rPr>
          <w:rFonts w:ascii="Times New Roman" w:cs="Times New Roman" w:eastAsia="Times New Roman" w:hAnsi="Times New Roman"/>
          <w:b w:val="false"/>
          <w:bCs w:val="false"/>
          <w:i w:val="false"/>
          <w:iCs w:val="false"/>
          <w:sz w:val="22"/>
          <w:szCs w:val="22"/>
        </w:rPr>
        <w:t xml:space="preserve">0.54</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falls in an empty region rather than cutting through a continuum. The interval </w:t>
      </w:r>
      <w:r>
        <w:rPr>
          <w:rFonts w:ascii="Times New Roman" w:cs="Times New Roman" w:eastAsia="Times New Roman" w:hAnsi="Times New Roman"/>
          <w:b w:val="false"/>
          <w:bCs w:val="false"/>
          <w:i w:val="false"/>
          <w:iCs w:val="false"/>
          <w:sz w:val="22"/>
          <w:szCs w:val="22"/>
        </w:rPr>
        <w:t xml:space="preserve">τ ∈ [0.54, 0.65]</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SIntPktIdl</w:t>
      </w:r>
      <w:r>
        <w:rPr>
          <w:rFonts w:ascii="Times New Roman" w:cs="Times New Roman" w:eastAsia="Times New Roman" w:hAnsi="Times New Roman"/>
          <w:b w:val="false"/>
          <w:bCs w:val="false"/>
          <w:i w:val="false"/>
          <w:iCs w:val="false"/>
          <w:sz w:val="22"/>
          <w:szCs w:val="22"/>
        </w:rPr>
        <w:t xml:space="preserve"> — is a grey zone in which features lose roughly a third of their standalone power across protocols without meeting the exclusion rule; Section 8 treats the sensitivity of our conclusions to that choice.</w:t>
      </w:r>
    </w:p>
    <w:p>
      <w:pPr>
        <w:keepNext/>
        <w:spacing w:after="80" w:before="200"/>
        <w:jc w:val="center"/>
      </w:pPr>
      <w:r>
        <w:drawing>
          <wp:inline distT="0" distB="0" distL="0" distR="0">
            <wp:extent cx="459105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91050" cy="36576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is the grey zone discussed in Section 8.</w:t>
      </w:r>
    </w:p>
    <w:p>
      <w:pPr>
        <w:keepNext/>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12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4.2. </w:t>
      </w:r>
      <w:r>
        <w:rPr>
          <w:rFonts w:ascii="Calibri" w:cs="Calibri" w:eastAsia="Calibri" w:hAnsi="Calibri"/>
          <w:b w:val="false"/>
          <w:bCs w:val="false"/>
          <w:i w:val="false"/>
          <w:iCs w:val="false"/>
          <w:sz w:val="18"/>
          <w:szCs w:val="18"/>
        </w:rPr>
        <w:t xml:space="preserve">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w:t>
      </w:r>
      <w:r>
        <w:rPr>
          <w:rFonts w:ascii="Calibri" w:cs="Calibri" w:eastAsia="Calibri" w:hAnsi="Calibri"/>
          <w:b w:val="false"/>
          <w:bCs w:val="false"/>
          <w:i w:val="false"/>
          <w:iCs w:val="false"/>
          <w:sz w:val="18"/>
          <w:szCs w:val="18"/>
        </w:rPr>
        <w:t xml:space="preserve">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w:t>
      </w:r>
      <w:r>
        <w:rPr>
          <w:rFonts w:ascii="Calibri" w:cs="Calibri" w:eastAsia="Calibri" w:hAnsi="Calibri"/>
          <w:b w:val="false"/>
          <w:bCs w:val="false"/>
          <w:i w:val="false"/>
          <w:iCs w:val="false"/>
          <w:sz w:val="18"/>
          <w:szCs w:val="18"/>
        </w:rPr>
        <w:t xml:space="preserve">10⁻⁴</w:t>
      </w:r>
      <w:r>
        <w:rPr>
          <w:rFonts w:ascii="Calibri" w:cs="Calibri" w:eastAsia="Calibri" w:hAnsi="Calibri"/>
          <w:b w:val="false"/>
          <w:bCs w:val="false"/>
          <w:i w:val="false"/>
          <w:iCs w:val="false"/>
          <w:sz w:val="18"/>
          <w:szCs w:val="18"/>
        </w:rP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bl>
    <w:p>
      <w:pPr>
        <w:spacing w:after="240"/>
      </w:pPr>
      <w:r>
        <w:rPr>
          <w:sz w:val="4"/>
          <w:szCs w:val="4"/>
        </w:rPr>
        <w:t xml:space="preserve"/>
      </w:r>
    </w:p>
    <w:p>
      <w:pPr>
        <w:keepNext/>
        <w:spacing w:after="80" w:before="200"/>
        <w:jc w:val="center"/>
      </w:pPr>
      <w:r>
        <w:drawing>
          <wp:inline distT="0" distB="0" distL="0" distR="0">
            <wp:extent cx="6124575"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2124075"/>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4. </w:t>
      </w:r>
      <w:r>
        <w:rPr>
          <w:rFonts w:ascii="Calibri" w:cs="Calibri" w:eastAsia="Calibri" w:hAnsi="Calibri"/>
          <w:b w:val="false"/>
          <w:bCs w:val="false"/>
          <w:i w:val="false"/>
          <w:iCs w:val="false"/>
          <w:sz w:val="18"/>
          <w:szCs w:val="18"/>
        </w:rPr>
        <w:t xml:space="preserve">Single-feature transferability </w:t>
      </w:r>
      <w:r>
        <w:rPr>
          <w:rFonts w:ascii="Calibri" w:cs="Calibri" w:eastAsia="Calibri" w:hAnsi="Calibri"/>
          <w:b w:val="false"/>
          <w:bCs w:val="false"/>
          <w:i w:val="false"/>
          <w:iCs w:val="false"/>
          <w:sz w:val="18"/>
          <w:szCs w:val="18"/>
        </w:rPr>
        <w:t xml:space="preserve">τ</w:t>
      </w:r>
      <w:r>
        <w:rPr>
          <w:rFonts w:ascii="Calibri" w:cs="Calibri" w:eastAsia="Calibri" w:hAnsi="Calibri"/>
          <w:b w:val="false"/>
          <w:bCs w:val="false"/>
          <w:i w:val="false"/>
          <w:iCs w:val="false"/>
          <w:sz w:val="18"/>
          <w:szCs w:val="18"/>
        </w:rPr>
        <w:t xml:space="preserve"> over all 63 behavioural features, sorted. Red bars are excluded. The gap between </w:t>
      </w:r>
      <w:r>
        <w:rPr>
          <w:rFonts w:ascii="Calibri" w:cs="Calibri" w:eastAsia="Calibri" w:hAnsi="Calibri"/>
          <w:b w:val="false"/>
          <w:bCs w:val="false"/>
          <w:i w:val="false"/>
          <w:iCs w:val="false"/>
          <w:sz w:val="18"/>
          <w:szCs w:val="18"/>
        </w:rPr>
        <w:t xml:space="preserve">τ = 0.49</w:t>
      </w:r>
      <w:r>
        <w:rPr>
          <w:rFonts w:ascii="Calibri" w:cs="Calibri" w:eastAsia="Calibri" w:hAnsi="Calibri"/>
          <w:b w:val="false"/>
          <w:bCs w:val="false"/>
          <w:i w:val="false"/>
          <w:iCs w:val="false"/>
          <w:sz w:val="18"/>
          <w:szCs w:val="18"/>
        </w:rPr>
        <w:t xml:space="preserve"> and </w:t>
      </w:r>
      <w:r>
        <w:rPr>
          <w:rFonts w:ascii="Calibri" w:cs="Calibri" w:eastAsia="Calibri" w:hAnsi="Calibri"/>
          <w:b w:val="false"/>
          <w:bCs w:val="false"/>
          <w:i w:val="false"/>
          <w:iCs w:val="false"/>
          <w:sz w:val="18"/>
          <w:szCs w:val="18"/>
        </w:rPr>
        <w:t xml:space="preserve">τ = 0.54</w:t>
      </w:r>
      <w:r>
        <w:rPr>
          <w:rFonts w:ascii="Calibri" w:cs="Calibri" w:eastAsia="Calibri" w:hAnsi="Calibri"/>
          <w:b w:val="false"/>
          <w:bCs w:val="false"/>
          <w:i w:val="false"/>
          <w:iCs w:val="false"/>
          <w:sz w:val="18"/>
          <w:szCs w:val="18"/>
        </w:rPr>
        <w:t xml:space="preserve"> places the threshold in an empty region.</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blacklisted features costs almost nothing under the stratified protocol: XGBoost, LightGBM and random forest are unchanged to four decimals, and the largest loss among the eleven detectors is </w:t>
      </w:r>
      <w:r>
        <w:rPr>
          <w:rFonts w:ascii="Times New Roman" w:cs="Times New Roman" w:eastAsia="Times New Roman" w:hAnsi="Times New Roman"/>
          <w:b w:val="false"/>
          <w:bCs w:val="false"/>
          <w:i w:val="false"/>
          <w:iCs w:val="false"/>
          <w:sz w:val="22"/>
          <w:szCs w:val="22"/>
        </w:rPr>
        <w:t xml:space="preserve">0.0018</w:t>
      </w: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rPr>
        <w:t xml:space="preserve">k</w:t>
      </w:r>
      <w:r>
        <w:rPr>
          <w:rFonts w:ascii="Times New Roman" w:cs="Times New Roman" w:eastAsia="Times New Roman" w:hAnsi="Times New Roman"/>
          <w:b w:val="false"/>
          <w:bCs w:val="false"/>
          <w:i w:val="false"/>
          <w:iCs w:val="false"/>
          <w:sz w:val="22"/>
          <w:szCs w:val="22"/>
        </w:rPr>
        <w:t xml:space="preserve">-NN).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rPr>
        <w:t xml:space="preserve">+0.0054</w:t>
      </w:r>
      <w:r>
        <w:rPr>
          <w:rFonts w:ascii="Times New Roman" w:cs="Times New Roman" w:eastAsia="Times New Roman" w:hAnsi="Times New Roman"/>
          <w:b w:val="false"/>
          <w:bCs w:val="false"/>
          <w:i w:val="false"/>
          <w:iCs w:val="false"/>
          <w:sz w:val="22"/>
          <w:szCs w:val="22"/>
        </w:rPr>
        <w:t xml:space="preserve"> and </w:t>
      </w:r>
      <w:r>
        <w:rPr>
          <w:rFonts w:ascii="Times New Roman" w:cs="Times New Roman" w:eastAsia="Times New Roman" w:hAnsi="Times New Roman"/>
          <w:b w:val="false"/>
          <w:bCs w:val="false"/>
          <w:i w:val="false"/>
          <w:iCs w:val="false"/>
          <w:sz w:val="22"/>
          <w:szCs w:val="22"/>
        </w:rPr>
        <w:t xml:space="preserve">+0.0103</w:t>
      </w:r>
      <w:r>
        <w:rPr>
          <w:rFonts w:ascii="Times New Roman" w:cs="Times New Roman" w:eastAsia="Times New Roman" w:hAnsi="Times New Roman"/>
          <w:b w:val="false"/>
          <w:bCs w:val="false"/>
          <w:i w:val="false"/>
          <w:iCs w:val="false"/>
          <w:sz w:val="22"/>
          <w:szCs w:val="22"/>
        </w:rPr>
        <w:t xml:space="preserve">),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5). The FT-Transformer leads at </w:t>
      </w:r>
      <w:r>
        <w:rPr>
          <w:rFonts w:ascii="Times New Roman" w:cs="Times New Roman" w:eastAsia="Times New Roman" w:hAnsi="Times New Roman"/>
          <w:b w:val="false"/>
          <w:bCs w:val="false"/>
          <w:i w:val="false"/>
          <w:iCs w:val="false"/>
          <w:sz w:val="22"/>
          <w:szCs w:val="22"/>
        </w:rPr>
        <w:t xml:space="preserve">0.9966</w:t>
      </w:r>
      <w:r>
        <w:rPr>
          <w:rFonts w:ascii="Times New Roman" w:cs="Times New Roman" w:eastAsia="Times New Roman" w:hAnsi="Times New Roman"/>
          <w:b w:val="false"/>
          <w:bCs w:val="false"/>
          <w:i w:val="false"/>
          <w:iCs w:val="false"/>
          <w:sz w:val="22"/>
          <w:szCs w:val="22"/>
        </w:rPr>
        <w:t xml:space="preserve">, followed by the CNN (</w:t>
      </w:r>
      <w:r>
        <w:rPr>
          <w:rFonts w:ascii="Times New Roman" w:cs="Times New Roman" w:eastAsia="Times New Roman" w:hAnsi="Times New Roman"/>
          <w:b w:val="false"/>
          <w:bCs w:val="false"/>
          <w:i w:val="false"/>
          <w:iCs w:val="false"/>
          <w:sz w:val="22"/>
          <w:szCs w:val="22"/>
        </w:rPr>
        <w:t xml:space="preserve">0.9949</w:t>
      </w:r>
      <w:r>
        <w:rPr>
          <w:rFonts w:ascii="Times New Roman" w:cs="Times New Roman" w:eastAsia="Times New Roman" w:hAnsi="Times New Roman"/>
          <w:b w:val="false"/>
          <w:bCs w:val="false"/>
          <w:i w:val="false"/>
          <w:iCs w:val="false"/>
          <w:sz w:val="22"/>
          <w:szCs w:val="22"/>
        </w:rPr>
        <w:t xml:space="preserve">) and logistic regression (</w:t>
      </w:r>
      <w:r>
        <w:rPr>
          <w:rFonts w:ascii="Times New Roman" w:cs="Times New Roman" w:eastAsia="Times New Roman" w:hAnsi="Times New Roman"/>
          <w:b w:val="false"/>
          <w:bCs w:val="false"/>
          <w:i w:val="false"/>
          <w:iCs w:val="false"/>
          <w:sz w:val="22"/>
          <w:szCs w:val="22"/>
        </w:rPr>
        <w:t xml:space="preserve">0.9944</w:t>
      </w:r>
      <w:r>
        <w:rPr>
          <w:rFonts w:ascii="Times New Roman" w:cs="Times New Roman" w:eastAsia="Times New Roman" w:hAnsi="Times New Roman"/>
          <w:b w:val="false"/>
          <w:bCs w:val="false"/>
          <w:i w:val="false"/>
          <w:iCs w:val="false"/>
          <w:sz w:val="22"/>
          <w:szCs w:val="22"/>
        </w:rPr>
        <w:t xml:space="preserve">); LightGBM and XGBoost fall to </w:t>
      </w:r>
      <w:r>
        <w:rPr>
          <w:rFonts w:ascii="Times New Roman" w:cs="Times New Roman" w:eastAsia="Times New Roman" w:hAnsi="Times New Roman"/>
          <w:b w:val="false"/>
          <w:bCs w:val="false"/>
          <w:i w:val="false"/>
          <w:iCs w:val="false"/>
          <w:sz w:val="22"/>
          <w:szCs w:val="22"/>
        </w:rPr>
        <w:t xml:space="preserve">0.9897</w:t>
      </w:r>
      <w:r>
        <w:rPr>
          <w:rFonts w:ascii="Times New Roman" w:cs="Times New Roman" w:eastAsia="Times New Roman" w:hAnsi="Times New Roman"/>
          <w:b w:val="false"/>
          <w:bCs w:val="false"/>
          <w:i w:val="false"/>
          <w:iCs w:val="false"/>
          <w:sz w:val="22"/>
          <w:szCs w:val="22"/>
        </w:rPr>
        <w:t xml:space="preserve"> and </w:t>
      </w:r>
      <w:r>
        <w:rPr>
          <w:rFonts w:ascii="Times New Roman" w:cs="Times New Roman" w:eastAsia="Times New Roman" w:hAnsi="Times New Roman"/>
          <w:b w:val="false"/>
          <w:bCs w:val="false"/>
          <w:i w:val="false"/>
          <w:iCs w:val="false"/>
          <w:sz w:val="22"/>
          <w:szCs w:val="22"/>
        </w:rPr>
        <w:t xml:space="preserve">0.9888</w:t>
      </w:r>
      <w:r>
        <w:rPr>
          <w:rFonts w:ascii="Times New Roman" w:cs="Times New Roman" w:eastAsia="Times New Roman" w:hAnsi="Times New Roman"/>
          <w:b w:val="false"/>
          <w:bCs w:val="false"/>
          <w:i w:val="false"/>
          <w:iCs w:val="false"/>
          <w:sz w:val="22"/>
          <w:szCs w:val="22"/>
        </w:rPr>
        <w:t xml:space="preserve">, and random forest and the DNN to </w:t>
      </w:r>
      <w:r>
        <w:rPr>
          <w:rFonts w:ascii="Times New Roman" w:cs="Times New Roman" w:eastAsia="Times New Roman" w:hAnsi="Times New Roman"/>
          <w:b w:val="false"/>
          <w:bCs w:val="false"/>
          <w:i w:val="false"/>
          <w:iCs w:val="false"/>
          <w:sz w:val="22"/>
          <w:szCs w:val="22"/>
        </w:rPr>
        <w:t xml:space="preserve">0.9775</w:t>
      </w:r>
      <w:r>
        <w:rPr>
          <w:rFonts w:ascii="Times New Roman" w:cs="Times New Roman" w:eastAsia="Times New Roman" w:hAnsi="Times New Roman"/>
          <w:b w:val="false"/>
          <w:bCs w:val="false"/>
          <w:i w:val="false"/>
          <w:iCs w:val="false"/>
          <w:sz w:val="22"/>
          <w:szCs w:val="22"/>
        </w:rPr>
        <w:t xml:space="preserve"> and </w:t>
      </w:r>
      <w:r>
        <w:rPr>
          <w:rFonts w:ascii="Times New Roman" w:cs="Times New Roman" w:eastAsia="Times New Roman" w:hAnsi="Times New Roman"/>
          <w:b w:val="false"/>
          <w:bCs w:val="false"/>
          <w:i w:val="false"/>
          <w:iCs w:val="false"/>
          <w:sz w:val="22"/>
          <w:szCs w:val="22"/>
        </w:rPr>
        <w:t xml:space="preserve">0.9730</w:t>
      </w:r>
      <w:r>
        <w:rPr>
          <w:rFonts w:ascii="Times New Roman" w:cs="Times New Roman" w:eastAsia="Times New Roman" w:hAnsi="Times New Roman"/>
          <w:b w:val="false"/>
          <w:bCs w:val="false"/>
          <w:i w:val="false"/>
          <w:iCs w:val="false"/>
          <w:sz w:val="22"/>
          <w:szCs w:val="22"/>
        </w:rPr>
        <w:t xml:space="preserve">. The gradient-boosted models that are unbeatable under a random split are mid-table once evaluation respects time, and a linear model outranks them. Because the stratified top group is statistically indistinguishable (Section 6.1), the temporal column is the only part of Table 2 that supports a ranking at all.</w:t>
      </w:r>
    </w:p>
    <w:p>
      <w:pPr>
        <w:keepNext/>
        <w:spacing w:after="80" w:before="200"/>
        <w:jc w:val="center"/>
      </w:pPr>
      <w:r>
        <w:drawing>
          <wp:inline distT="0" distB="0" distL="0" distR="0">
            <wp:extent cx="61245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26098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3-point band that a 0–1 axis would hide. Panel (b) shows the weak baselines at true scale.</w:t>
      </w:r>
    </w:p>
    <w:p>
      <w:pPr>
        <w:keepNext/>
        <w:spacing w:after="80" w:before="200"/>
        <w:jc w:val="center"/>
      </w:pPr>
      <w:r>
        <w:drawing>
          <wp:inline distT="0" distB="0" distL="0" distR="0">
            <wp:extent cx="478155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81550" cy="27813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 7.42% at 60 s, 5.16% at 30 s, 2.38% at 10 s, 1.45% at 5 s — while the flow count grows from 338 820 to 2 773 578 (Table 4).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5 gives the effect on detection. The boosted trees are essentially interval-invariant: XGBoost holds </w:t>
      </w:r>
      <w:r>
        <w:rPr>
          <w:rFonts w:ascii="Times New Roman" w:cs="Times New Roman" w:eastAsia="Times New Roman" w:hAnsi="Times New Roman"/>
          <w:b w:val="false"/>
          <w:bCs w:val="false"/>
          <w:i w:val="false"/>
          <w:iCs w:val="false"/>
          <w:sz w:val="22"/>
          <w:szCs w:val="22"/>
        </w:rPr>
        <w:t xml:space="preserve">1.0000</w:t>
      </w:r>
      <w:r>
        <w:rPr>
          <w:rFonts w:ascii="Times New Roman" w:cs="Times New Roman" w:eastAsia="Times New Roman" w:hAnsi="Times New Roman"/>
          <w:b w:val="false"/>
          <w:bCs w:val="false"/>
          <w:i w:val="false"/>
          <w:iCs w:val="false"/>
          <w:sz w:val="22"/>
          <w:szCs w:val="22"/>
        </w:rPr>
        <w:t xml:space="preserve"> at 5, 10 and 60 s and </w:t>
      </w:r>
      <w:r>
        <w:rPr>
          <w:rFonts w:ascii="Times New Roman" w:cs="Times New Roman" w:eastAsia="Times New Roman" w:hAnsi="Times New Roman"/>
          <w:b w:val="false"/>
          <w:bCs w:val="false"/>
          <w:i w:val="false"/>
          <w:iCs w:val="false"/>
          <w:sz w:val="22"/>
          <w:szCs w:val="22"/>
        </w:rPr>
        <w:t xml:space="preserve">0.9999</w:t>
      </w:r>
      <w:r>
        <w:rPr>
          <w:rFonts w:ascii="Times New Roman" w:cs="Times New Roman" w:eastAsia="Times New Roman" w:hAnsi="Times New Roman"/>
          <w:b w:val="false"/>
          <w:bCs w:val="false"/>
          <w:i w:val="false"/>
          <w:iCs w:val="false"/>
          <w:sz w:val="22"/>
          <w:szCs w:val="22"/>
        </w:rPr>
        <w:t xml:space="preserve"> at 30 s, and LightGBM holds </w:t>
      </w:r>
      <w:r>
        <w:rPr>
          <w:rFonts w:ascii="Times New Roman" w:cs="Times New Roman" w:eastAsia="Times New Roman" w:hAnsi="Times New Roman"/>
          <w:b w:val="false"/>
          <w:bCs w:val="false"/>
          <w:i w:val="false"/>
          <w:iCs w:val="false"/>
          <w:sz w:val="22"/>
          <w:szCs w:val="22"/>
        </w:rPr>
        <w:t xml:space="preserve">≥ 0.9999</w:t>
      </w:r>
      <w:r>
        <w:rPr>
          <w:rFonts w:ascii="Times New Roman" w:cs="Times New Roman" w:eastAsia="Times New Roman" w:hAnsi="Times New Roman"/>
          <w:b w:val="false"/>
          <w:bCs w:val="false"/>
          <w:i w:val="false"/>
          <w:iCs w:val="false"/>
          <w:sz w:val="22"/>
          <w:szCs w:val="22"/>
        </w:rPr>
        <w:t xml:space="preserve"> except at 10 s where one seed degrades sharply (</w:t>
      </w:r>
      <w:r>
        <w:rPr>
          <w:rFonts w:ascii="Times New Roman" w:cs="Times New Roman" w:eastAsia="Times New Roman" w:hAnsi="Times New Roman"/>
          <w:b w:val="false"/>
          <w:bCs w:val="false"/>
          <w:i w:val="false"/>
          <w:iCs w:val="false"/>
          <w:sz w:val="22"/>
          <w:szCs w:val="22"/>
        </w:rPr>
        <w:t xml:space="preserve">0.9458 ± 0.0766</w:t>
      </w:r>
      <w:r>
        <w:rPr>
          <w:rFonts w:ascii="Times New Roman" w:cs="Times New Roman" w:eastAsia="Times New Roman" w:hAnsi="Times New Roman"/>
          <w:b w:val="false"/>
          <w:bCs w:val="false"/>
          <w:i w:val="false"/>
          <w:iCs w:val="false"/>
          <w:sz w:val="22"/>
          <w:szCs w:val="22"/>
        </w:rPr>
        <w:t xml:space="preserve">, driven by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F1 </w:t>
      </w:r>
      <w:r>
        <w:rPr>
          <w:rFonts w:ascii="Times New Roman" w:cs="Times New Roman" w:eastAsia="Times New Roman" w:hAnsi="Times New Roman"/>
          <w:b w:val="false"/>
          <w:bCs w:val="false"/>
          <w:i w:val="false"/>
          <w:iCs w:val="false"/>
          <w:sz w:val="22"/>
          <w:szCs w:val="22"/>
        </w:rPr>
        <w:t xml:space="preserve">0.685</w:t>
      </w:r>
      <w:r>
        <w:rPr>
          <w:rFonts w:ascii="Times New Roman" w:cs="Times New Roman" w:eastAsia="Times New Roman" w:hAnsi="Times New Roman"/>
          <w:b w:val="false"/>
          <w:bCs w:val="false"/>
          <w:i w:val="false"/>
          <w:iCs w:val="false"/>
          <w:sz w:val="22"/>
          <w:szCs w:val="22"/>
        </w:rPr>
        <w:t xml:space="preserve">). The DNN, by contrast, collapses as the window shrinks: </w:t>
      </w:r>
      <w:r>
        <w:rPr>
          <w:rFonts w:ascii="Times New Roman" w:cs="Times New Roman" w:eastAsia="Times New Roman" w:hAnsi="Times New Roman"/>
          <w:b w:val="false"/>
          <w:bCs w:val="false"/>
          <w:i w:val="false"/>
          <w:iCs w:val="false"/>
          <w:sz w:val="22"/>
          <w:szCs w:val="22"/>
        </w:rPr>
        <w:t xml:space="preserve">0.9968</w:t>
      </w:r>
      <w:r>
        <w:rPr>
          <w:rFonts w:ascii="Times New Roman" w:cs="Times New Roman" w:eastAsia="Times New Roman" w:hAnsi="Times New Roman"/>
          <w:b w:val="false"/>
          <w:bCs w:val="false"/>
          <w:i w:val="false"/>
          <w:iCs w:val="false"/>
          <w:sz w:val="22"/>
          <w:szCs w:val="22"/>
        </w:rPr>
        <w:t xml:space="preserve"> at 60 s, </w:t>
      </w:r>
      <w:r>
        <w:rPr>
          <w:rFonts w:ascii="Times New Roman" w:cs="Times New Roman" w:eastAsia="Times New Roman" w:hAnsi="Times New Roman"/>
          <w:b w:val="false"/>
          <w:bCs w:val="false"/>
          <w:i w:val="false"/>
          <w:iCs w:val="false"/>
          <w:sz w:val="22"/>
          <w:szCs w:val="22"/>
        </w:rPr>
        <w:t xml:space="preserve">0.8478</w:t>
      </w:r>
      <w:r>
        <w:rPr>
          <w:rFonts w:ascii="Times New Roman" w:cs="Times New Roman" w:eastAsia="Times New Roman" w:hAnsi="Times New Roman"/>
          <w:b w:val="false"/>
          <w:bCs w:val="false"/>
          <w:i w:val="false"/>
          <w:iCs w:val="false"/>
          <w:sz w:val="22"/>
          <w:szCs w:val="22"/>
        </w:rPr>
        <w:t xml:space="preserve"> at 30 s, </w:t>
      </w:r>
      <w:r>
        <w:rPr>
          <w:rFonts w:ascii="Times New Roman" w:cs="Times New Roman" w:eastAsia="Times New Roman" w:hAnsi="Times New Roman"/>
          <w:b w:val="false"/>
          <w:bCs w:val="false"/>
          <w:i w:val="false"/>
          <w:iCs w:val="false"/>
          <w:sz w:val="22"/>
          <w:szCs w:val="22"/>
        </w:rPr>
        <w:t xml:space="preserve">0.5120</w:t>
      </w:r>
      <w:r>
        <w:rPr>
          <w:rFonts w:ascii="Times New Roman" w:cs="Times New Roman" w:eastAsia="Times New Roman" w:hAnsi="Times New Roman"/>
          <w:b w:val="false"/>
          <w:bCs w:val="false"/>
          <w:i w:val="false"/>
          <w:iCs w:val="false"/>
          <w:sz w:val="22"/>
          <w:szCs w:val="22"/>
        </w:rPr>
        <w:t xml:space="preserve"> at 10 s and </w:t>
      </w:r>
      <w:r>
        <w:rPr>
          <w:rFonts w:ascii="Times New Roman" w:cs="Times New Roman" w:eastAsia="Times New Roman" w:hAnsi="Times New Roman"/>
          <w:b w:val="false"/>
          <w:bCs w:val="false"/>
          <w:i w:val="false"/>
          <w:iCs w:val="false"/>
          <w:sz w:val="22"/>
          <w:szCs w:val="22"/>
        </w:rPr>
        <w:t xml:space="preserve">0.5291</w:t>
      </w:r>
      <w:r>
        <w:rPr>
          <w:rFonts w:ascii="Times New Roman" w:cs="Times New Roman" w:eastAsia="Times New Roman" w:hAnsi="Times New Roman"/>
          <w:b w:val="false"/>
          <w:bCs w:val="false"/>
          <w:i w:val="false"/>
          <w:iCs w:val="false"/>
          <w:sz w:val="22"/>
          <w:szCs w:val="22"/>
        </w:rPr>
        <w:t xml:space="preserve"> at 5 s, with false-positive rates of 34% and 39% at the two shortest intervals. Aggregation is doing work that the dense network cannot do for itself, and an evaluation conducted only at 60 s — as in the corpus baseline —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resolves this by family. Detectability is uniformly high for the five denial-of-service families at every interval; the cost of shortening the window falls almost entirely on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whose F1 drops to </w:t>
      </w:r>
      <w:r>
        <w:rPr>
          <w:rFonts w:ascii="Times New Roman" w:cs="Times New Roman" w:eastAsia="Times New Roman" w:hAnsi="Times New Roman"/>
          <w:b w:val="false"/>
          <w:bCs w:val="false"/>
          <w:i w:val="false"/>
          <w:iCs w:val="false"/>
          <w:sz w:val="22"/>
          <w:szCs w:val="22"/>
        </w:rPr>
        <w:t xml:space="preserve">0.685</w:t>
      </w:r>
      <w:r>
        <w:rPr>
          <w:rFonts w:ascii="Times New Roman" w:cs="Times New Roman" w:eastAsia="Times New Roman" w:hAnsi="Times New Roman"/>
          <w:b w:val="false"/>
          <w:bCs w:val="false"/>
          <w:i w:val="false"/>
          <w:iCs w:val="false"/>
          <w:sz w:val="22"/>
          <w:szCs w:val="22"/>
        </w:rPr>
        <w:t xml:space="preserve"> at 10 s. Brute-force traffic is low-rate and bursty, so shorter windows fragment the very pattern that distinguishes it, whereas floods remain volumetrically obvious at any aggregation.</w:t>
      </w:r>
    </w:p>
    <w:p>
      <w:pPr>
        <w:keepNext/>
        <w:spacing w:after="80" w:before="200"/>
        <w:jc w:val="center"/>
      </w:pPr>
      <w:r>
        <w:drawing>
          <wp:inline distT="0" distB="0" distL="0" distR="0">
            <wp:extent cx="4162425"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62425" cy="29146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Per-class F1 across aggregation intervals (LightGBM, audited). Only the low-rate brute-force families are sensitive to the window length.</w:t>
      </w:r>
    </w:p>
    <w:p>
      <w:pPr>
        <w:keepNext/>
        <w:spacing w:after="100" w:before="240"/>
        <w:jc w:val="both"/>
      </w:pPr>
      <w:r>
        <w:rPr>
          <w:rFonts w:ascii="Calibri" w:cs="Calibri" w:eastAsia="Calibri" w:hAnsi="Calibri"/>
          <w:b/>
          <w:bCs/>
          <w:sz w:val="18"/>
          <w:szCs w:val="18"/>
        </w:rPr>
        <w:t xml:space="preserve">Table 4.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w:t>
      </w:r>
      <w:r>
        <w:rPr>
          <w:rFonts w:ascii="Calibri" w:cs="Calibri" w:eastAsia="Calibri" w:hAnsi="Calibri"/>
          <w:b w:val="false"/>
          <w:bCs w:val="false"/>
          <w:i w:val="false"/>
          <w:iCs w:val="false"/>
          <w:sz w:val="18"/>
          <w:szCs w:val="18"/>
        </w:rPr>
        <w:t xml:space="preserve">0.1942</w:t>
      </w:r>
      <w:r>
        <w:rPr>
          <w:rFonts w:ascii="Calibri" w:cs="Calibri" w:eastAsia="Calibri" w:hAnsi="Calibri"/>
          <w:b w:val="false"/>
          <w:bCs w:val="false"/>
          <w:i w:val="false"/>
          <w:iCs w:val="false"/>
          <w:sz w:val="18"/>
          <w:szCs w:val="18"/>
        </w:rP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Macro-F1 by aggregation interval, audited condition, with the standard deviation following the </w:t>
      </w:r>
      <w:r>
        <w:rPr>
          <w:rFonts w:ascii="Calibri" w:cs="Calibri" w:eastAsia="Calibri" w:hAnsi="Calibri"/>
          <w:b w:val="false"/>
          <w:bCs w:val="false"/>
          <w:i w:val="false"/>
          <w:iCs w:val="false"/>
          <w:sz w:val="18"/>
          <w:szCs w:val="18"/>
        </w:rPr>
        <w:t xml:space="preserve">±</w:t>
      </w:r>
      <w:r>
        <w:rPr>
          <w:rFonts w:ascii="Calibri" w:cs="Calibri" w:eastAsia="Calibri" w:hAnsi="Calibri"/>
          <w:b w:val="false"/>
          <w:bCs w:val="false"/>
          <w:i w:val="false"/>
          <w:iCs w:val="false"/>
          <w:sz w:val="18"/>
          <w:szCs w:val="18"/>
        </w:rPr>
        <w:t xml:space="preserve"> sign (three seeds at 5/10/30 s, five at 60 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521"/>
        <w:gridCol w:w="1766"/>
        <w:gridCol w:w="2117"/>
        <w:gridCol w:w="2117"/>
        <w:gridCol w:w="2117"/>
      </w:tblGrid>
      <w:tr>
        <w:trPr>
          <w:tblHeader/>
        </w:trPr>
        <w:tc>
          <w:tcPr>
            <w:tcW w:type="dxa" w:w="152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7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LightGBM</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XGBoost</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DNN</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0.5291 ± 0.0194</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0.9458 ± 0.0766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0.5120 ± 0.0021</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0.8478 ± 0.0034</w:t>
            </w:r>
          </w:p>
        </w:tc>
      </w:tr>
      <w:tr>
        <w:trPr>
          <w:tblHeader w:val="false"/>
        </w:trPr>
        <w:tc>
          <w:tcPr>
            <w:tcW w:type="dxa" w:w="152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7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already solved,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6 reports both. Expected calibration error is at most </w:t>
      </w:r>
      <w:r>
        <w:rPr>
          <w:rFonts w:ascii="Times New Roman" w:cs="Times New Roman" w:eastAsia="Times New Roman" w:hAnsi="Times New Roman"/>
          <w:b w:val="false"/>
          <w:bCs w:val="false"/>
          <w:i w:val="false"/>
          <w:iCs w:val="false"/>
          <w:sz w:val="22"/>
          <w:szCs w:val="22"/>
        </w:rPr>
        <w:t xml:space="preserve">0.0009</w:t>
      </w:r>
      <w:r>
        <w:rPr>
          <w:rFonts w:ascii="Times New Roman" w:cs="Times New Roman" w:eastAsia="Times New Roman" w:hAnsi="Times New Roman"/>
          <w:b w:val="false"/>
          <w:bCs w:val="false"/>
          <w:i w:val="false"/>
          <w:iCs w:val="false"/>
          <w:sz w:val="22"/>
          <w:szCs w:val="22"/>
        </w:rPr>
        <w:t xml:space="preserve"> for every model except naive Bayes, and for those models temperature scaling moves it by less than </w:t>
      </w:r>
      <w:r>
        <w:rPr>
          <w:rFonts w:ascii="Times New Roman" w:cs="Times New Roman" w:eastAsia="Times New Roman" w:hAnsi="Times New Roman"/>
          <w:b w:val="false"/>
          <w:bCs w:val="false"/>
          <w:i w:val="false"/>
          <w:iCs w:val="false"/>
          <w:sz w:val="22"/>
          <w:szCs w:val="22"/>
        </w:rPr>
        <w:t xml:space="preserve">0.001</w:t>
      </w:r>
      <w:r>
        <w:rPr>
          <w:rFonts w:ascii="Times New Roman" w:cs="Times New Roman" w:eastAsia="Times New Roman" w:hAnsi="Times New Roman"/>
          <w:b w:val="false"/>
          <w:bCs w:val="false"/>
          <w:i w:val="false"/>
          <w:iCs w:val="false"/>
          <w:sz w:val="22"/>
          <w:szCs w:val="22"/>
        </w:rPr>
        <w:t xml:space="preserve"> in either direction. Naive Bayes is the exception in both respects: it starts at </w:t>
      </w:r>
      <w:r>
        <w:rPr>
          <w:rFonts w:ascii="Times New Roman" w:cs="Times New Roman" w:eastAsia="Times New Roman" w:hAnsi="Times New Roman"/>
          <w:b w:val="false"/>
          <w:bCs w:val="false"/>
          <w:i w:val="false"/>
          <w:iCs w:val="false"/>
          <w:sz w:val="22"/>
          <w:szCs w:val="22"/>
        </w:rPr>
        <w:t xml:space="preserve">0.1880</w:t>
      </w:r>
      <w:r>
        <w:rPr>
          <w:rFonts w:ascii="Times New Roman" w:cs="Times New Roman" w:eastAsia="Times New Roman" w:hAnsi="Times New Roman"/>
          <w:b w:val="false"/>
          <w:bCs w:val="false"/>
          <w:i w:val="false"/>
          <w:iCs w:val="false"/>
          <w:sz w:val="22"/>
          <w:szCs w:val="22"/>
        </w:rPr>
        <w:t xml:space="preserve">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rPr>
        <w:t xml:space="preserve">0.2435</w:t>
      </w:r>
      <w:r>
        <w:rPr>
          <w:rFonts w:ascii="Times New Roman" w:cs="Times New Roman" w:eastAsia="Times New Roman" w:hAnsi="Times New Roman"/>
          <w:b w:val="false"/>
          <w:bCs w:val="false"/>
          <w:i w:val="false"/>
          <w:iCs w:val="false"/>
          <w:sz w:val="22"/>
          <w:szCs w:val="22"/>
        </w:rPr>
        <w:t xml:space="preserve">), the familiar failure of a single-parameter correction applied to a model whose errors are not a uniform over-confidence. On a task this saturated the confidences are already well ordered, and calibration has nothing left to repair — a negative result worth recording, since calibration is routinely recommended without checking whether it is needed. The fitted temperatures for the tree ensembles are far below one (</w:t>
      </w:r>
      <w:r>
        <w:rPr>
          <w:rFonts w:ascii="Times New Roman" w:cs="Times New Roman" w:eastAsia="Times New Roman" w:hAnsi="Times New Roman"/>
          <w:b w:val="false"/>
          <w:bCs w:val="false"/>
          <w:i w:val="false"/>
          <w:iCs w:val="false"/>
          <w:sz w:val="22"/>
          <w:szCs w:val="22"/>
        </w:rPr>
        <w:t xml:space="preserve">0.05</w:t>
      </w:r>
      <w:r>
        <w:rPr>
          <w:rFonts w:ascii="Times New Roman" w:cs="Times New Roman" w:eastAsia="Times New Roman" w:hAnsi="Times New Roman"/>
          <w:b w:val="false"/>
          <w:bCs w:val="false"/>
          <w:i w:val="false"/>
          <w:iCs w:val="false"/>
          <w:sz w:val="22"/>
          <w:szCs w:val="22"/>
        </w:rPr>
        <w:t xml:space="preserve">–</w:t>
      </w:r>
      <w:r>
        <w:rPr>
          <w:rFonts w:ascii="Times New Roman" w:cs="Times New Roman" w:eastAsia="Times New Roman" w:hAnsi="Times New Roman"/>
          <w:b w:val="false"/>
          <w:bCs w:val="false"/>
          <w:i w:val="false"/>
          <w:iCs w:val="false"/>
          <w:sz w:val="22"/>
          <w:szCs w:val="22"/>
        </w:rPr>
        <w:t xml:space="preserve">0.09</w:t>
      </w:r>
      <w:r>
        <w:rPr>
          <w:rFonts w:ascii="Times New Roman" w:cs="Times New Roman" w:eastAsia="Times New Roman" w:hAnsi="Times New Roman"/>
          <w:b w:val="false"/>
          <w:bCs w:val="false"/>
          <w:i w:val="false"/>
          <w:iCs w:val="false"/>
          <w:sz w:val="22"/>
          <w:szCs w:val="22"/>
        </w:rPr>
        <w:t xml:space="preserve">), the signature of near-deterministic posteriors rather than of miscalibration.</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w:t>
      </w:r>
      <w:r>
        <w:rPr>
          <w:rFonts w:ascii="Times New Roman" w:cs="Times New Roman" w:eastAsia="Times New Roman" w:hAnsi="Times New Roman"/>
          <w:b w:val="false"/>
          <w:bCs w:val="false"/>
          <w:i w:val="false"/>
          <w:iCs w:val="false"/>
          <w:sz w:val="22"/>
          <w:szCs w:val="22"/>
        </w:rPr>
        <w:t xml:space="preserve">k</w:t>
      </w:r>
      <w:r>
        <w:rPr>
          <w:rFonts w:ascii="Times New Roman" w:cs="Times New Roman" w:eastAsia="Times New Roman" w:hAnsi="Times New Roman"/>
          <w:b w:val="false"/>
          <w:bCs w:val="false"/>
          <w:i w:val="false"/>
          <w:iCs w:val="false"/>
          <w:sz w:val="22"/>
          <w:szCs w:val="22"/>
        </w:rPr>
        <w:t xml:space="preserve">-NN and the RNN by at most </w:t>
      </w:r>
      <w:r>
        <w:rPr>
          <w:rFonts w:ascii="Times New Roman" w:cs="Times New Roman" w:eastAsia="Times New Roman" w:hAnsi="Times New Roman"/>
          <w:b w:val="false"/>
          <w:bCs w:val="false"/>
          <w:i w:val="false"/>
          <w:iCs w:val="false"/>
          <w:sz w:val="22"/>
          <w:szCs w:val="22"/>
        </w:rPr>
        <w:t xml:space="preserve">+0.0016</w:t>
      </w:r>
      <w:r>
        <w:rPr>
          <w:rFonts w:ascii="Times New Roman" w:cs="Times New Roman" w:eastAsia="Times New Roman" w:hAnsi="Times New Roman"/>
          <w:b w:val="false"/>
          <w:bCs w:val="false"/>
          <w:i w:val="false"/>
          <w:iCs w:val="false"/>
          <w:sz w:val="22"/>
          <w:szCs w:val="22"/>
        </w:rPr>
        <w:t xml:space="preserve">. It transforms only the model that was badly configured to begin with: naive Bayes gains </w:t>
      </w:r>
      <w:r>
        <w:rPr>
          <w:rFonts w:ascii="Times New Roman" w:cs="Times New Roman" w:eastAsia="Times New Roman" w:hAnsi="Times New Roman"/>
          <w:b w:val="false"/>
          <w:bCs w:val="false"/>
          <w:i w:val="false"/>
          <w:iCs w:val="false"/>
          <w:sz w:val="22"/>
          <w:szCs w:val="22"/>
        </w:rPr>
        <w:t xml:space="preserve">+0.1668</w:t>
      </w:r>
      <w:r>
        <w:rPr>
          <w:rFonts w:ascii="Times New Roman" w:cs="Times New Roman" w:eastAsia="Times New Roman" w:hAnsi="Times New Roman"/>
          <w:b w:val="false"/>
          <w:bCs w:val="false"/>
          <w:i w:val="false"/>
          <w:iCs w:val="false"/>
          <w:sz w:val="22"/>
          <w:szCs w:val="22"/>
        </w:rPr>
        <w:t xml:space="preserve"> (from </w:t>
      </w:r>
      <w:r>
        <w:rPr>
          <w:rFonts w:ascii="Times New Roman" w:cs="Times New Roman" w:eastAsia="Times New Roman" w:hAnsi="Times New Roman"/>
          <w:b w:val="false"/>
          <w:bCs w:val="false"/>
          <w:i w:val="false"/>
          <w:iCs w:val="false"/>
          <w:sz w:val="22"/>
          <w:szCs w:val="22"/>
        </w:rPr>
        <w:t xml:space="preserve">0.5492</w:t>
      </w:r>
      <w:r>
        <w:rPr>
          <w:rFonts w:ascii="Times New Roman" w:cs="Times New Roman" w:eastAsia="Times New Roman" w:hAnsi="Times New Roman"/>
          <w:b w:val="false"/>
          <w:bCs w:val="false"/>
          <w:i w:val="false"/>
          <w:iCs w:val="false"/>
          <w:sz w:val="22"/>
          <w:szCs w:val="22"/>
        </w:rPr>
        <w:t xml:space="preserve"> to </w:t>
      </w:r>
      <w:r>
        <w:rPr>
          <w:rFonts w:ascii="Times New Roman" w:cs="Times New Roman" w:eastAsia="Times New Roman" w:hAnsi="Times New Roman"/>
          <w:b w:val="false"/>
          <w:bCs w:val="false"/>
          <w:i w:val="false"/>
          <w:iCs w:val="false"/>
          <w:sz w:val="22"/>
          <w:szCs w:val="22"/>
        </w:rPr>
        <w:t xml:space="preserve">0.7160</w:t>
      </w:r>
      <w:r>
        <w:rPr>
          <w:rFonts w:ascii="Times New Roman" w:cs="Times New Roman" w:eastAsia="Times New Roman" w:hAnsi="Times New Roman"/>
          <w:b w:val="false"/>
          <w:bCs w:val="false"/>
          <w:i w:val="false"/>
          <w:iCs w:val="false"/>
          <w:sz w:val="22"/>
          <w:szCs w:val="22"/>
        </w:rPr>
        <w:t xml:space="preserve">),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w:t>
      </w:r>
      <w:r>
        <w:rPr>
          <w:rFonts w:ascii="Times New Roman" w:cs="Times New Roman" w:eastAsia="Times New Roman" w:hAnsi="Times New Roman"/>
          <w:b w:val="false"/>
          <w:bCs w:val="false"/>
          <w:i w:val="false"/>
          <w:iCs w:val="false"/>
          <w:sz w:val="22"/>
          <w:szCs w:val="22"/>
        </w:rPr>
        <w:t xml:space="preserve">+0.0313</w:t>
      </w:r>
      <w:r>
        <w:rPr>
          <w:rFonts w:ascii="Times New Roman" w:cs="Times New Roman" w:eastAsia="Times New Roman" w:hAnsi="Times New Roman"/>
          <w:b w:val="false"/>
          <w:bCs w:val="false"/>
          <w:i w:val="false"/>
          <w:iCs w:val="false"/>
          <w:sz w:val="22"/>
          <w:szCs w:val="22"/>
        </w:rPr>
        <w:t xml:space="preserve">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rPr>
        <w:t xml:space="preserve">0.0043</w:t>
      </w:r>
      <w:r>
        <w:rPr>
          <w:rFonts w:ascii="Times New Roman" w:cs="Times New Roman" w:eastAsia="Times New Roman" w:hAnsi="Times New Roman"/>
          <w:b w:val="false"/>
          <w:bCs w:val="false"/>
          <w:i w:val="false"/>
          <w:iCs w:val="false"/>
          <w:sz w:val="22"/>
          <w:szCs w:val="22"/>
        </w:rPr>
        <w:t xml:space="preserve"> on the test partition, and the CNN loses </w:t>
      </w:r>
      <w:r>
        <w:rPr>
          <w:rFonts w:ascii="Times New Roman" w:cs="Times New Roman" w:eastAsia="Times New Roman" w:hAnsi="Times New Roman"/>
          <w:b w:val="false"/>
          <w:bCs w:val="false"/>
          <w:i w:val="false"/>
          <w:iCs w:val="false"/>
          <w:sz w:val="22"/>
          <w:szCs w:val="22"/>
        </w:rPr>
        <w:t xml:space="preserve">0.0067</w:t>
      </w:r>
      <w:r>
        <w:rPr>
          <w:rFonts w:ascii="Times New Roman" w:cs="Times New Roman" w:eastAsia="Times New Roman" w:hAnsi="Times New Roman"/>
          <w:b w:val="false"/>
          <w:bCs w:val="false"/>
          <w:i w:val="false"/>
          <w:iCs w:val="false"/>
          <w:sz w:val="22"/>
          <w:szCs w:val="22"/>
        </w:rPr>
        <w:t xml:space="preserve"> despite no validation gain at all. Selecting on a single validation split, then retraining across five seeds, is enough to invert the sign of a small effect —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keepNext/>
        <w:spacing w:after="100" w:before="240"/>
        <w:jc w:val="both"/>
      </w:pPr>
      <w:r>
        <w:rPr>
          <w:rFonts w:ascii="Calibri" w:cs="Calibri" w:eastAsia="Calibri" w:hAnsi="Calibri"/>
          <w:b/>
          <w:bCs/>
          <w:sz w:val="18"/>
          <w:szCs w:val="18"/>
        </w:rPr>
        <w:t xml:space="preserve">Table 6. </w:t>
      </w:r>
      <w:r>
        <w:rPr>
          <w:rFonts w:ascii="Calibri" w:cs="Calibri" w:eastAsia="Calibri" w:hAnsi="Calibri"/>
          <w:b w:val="false"/>
          <w:bCs w:val="false"/>
          <w:i w:val="false"/>
          <w:iCs w:val="false"/>
          <w:sz w:val="18"/>
          <w:szCs w:val="18"/>
        </w:rPr>
        <w:t xml:space="preserve">Calibration (audited, seed 1) and hyperparameter search. </w:t>
      </w:r>
      <w:r>
        <w:rPr>
          <w:rFonts w:ascii="Calibri" w:cs="Calibri" w:eastAsia="Calibri" w:hAnsi="Calibri"/>
          <w:b w:val="false"/>
          <w:bCs w:val="false"/>
          <w:i w:val="false"/>
          <w:iCs w:val="false"/>
          <w:sz w:val="18"/>
          <w:szCs w:val="18"/>
        </w:rPr>
        <w:t xml:space="preserve">T</w:t>
      </w:r>
      <w:r>
        <w:rPr>
          <w:rFonts w:ascii="Calibri" w:cs="Calibri" w:eastAsia="Calibri" w:hAnsi="Calibri"/>
          <w:b w:val="false"/>
          <w:bCs w:val="false"/>
          <w:i w:val="false"/>
          <w:iCs w:val="false"/>
          <w:sz w:val="18"/>
          <w:szCs w:val="18"/>
        </w:rPr>
        <w:t xml:space="preserve">: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Trials: random-search trials actually completed under the 900 s cap. </w:t>
      </w:r>
      <w:r>
        <w:rPr>
          <w:rFonts w:ascii="Calibri" w:cs="Calibri" w:eastAsia="Calibri" w:hAnsi="Calibri"/>
          <w:b w:val="false"/>
          <w:bCs w:val="false"/>
          <w:i w:val="false"/>
          <w:iCs w:val="false"/>
          <w:sz w:val="18"/>
          <w:szCs w:val="18"/>
        </w:rPr>
        <w:t xml:space="preserve">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1.132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w:t>
            </w:r>
            <w:r>
              <w:rPr>
                <w:rFonts w:ascii="Calibri" w:cs="Calibri" w:eastAsia="Calibri" w:hAnsi="Calibri"/>
                <w:b w:val="false"/>
                <w:bCs w:val="false"/>
                <w:i w:val="false"/>
                <w:iCs w:val="false"/>
                <w:sz w:val="18"/>
                <w:szCs w:val="18"/>
              </w:rPr>
              <w:t xml:space="preserve">-NN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2.835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5.821</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0.1880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0.2435</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Reconstruction-based anomaly detection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w:t>
      </w:r>
      <w:r>
        <w:rPr>
          <w:rFonts w:ascii="Times New Roman" w:cs="Times New Roman" w:eastAsia="Times New Roman" w:hAnsi="Times New Roman"/>
          <w:b w:val="false"/>
          <w:bCs w:val="false"/>
          <w:i w:val="false"/>
          <w:iCs w:val="false"/>
          <w:sz w:val="22"/>
          <w:szCs w:val="22"/>
        </w:rPr>
        <w:t xml:space="preserve">0.4164 ± 0.0230</w:t>
      </w:r>
      <w:r>
        <w:rPr>
          <w:rFonts w:ascii="Times New Roman" w:cs="Times New Roman" w:eastAsia="Times New Roman" w:hAnsi="Times New Roman"/>
          <w:b w:val="false"/>
          <w:bCs w:val="false"/>
          <w:i w:val="false"/>
          <w:iCs w:val="false"/>
          <w:sz w:val="22"/>
          <w:szCs w:val="22"/>
        </w:rPr>
        <w:t xml:space="preserve">: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7, Figure 8) explains why and is more interesting than the headline.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w:t>
      </w:r>
      <w:r>
        <w:rPr>
          <w:rFonts w:ascii="Times New Roman" w:cs="Times New Roman" w:eastAsia="Times New Roman" w:hAnsi="Times New Roman"/>
          <w:b w:val="false"/>
          <w:bCs w:val="false"/>
          <w:i w:val="false"/>
          <w:iCs w:val="false"/>
          <w:sz w:val="22"/>
          <w:szCs w:val="22"/>
        </w:rPr>
        <w:t xml:space="preserve">0.0000</w:t>
      </w:r>
      <w:r>
        <w:rPr>
          <w:rFonts w:ascii="Times New Roman" w:cs="Times New Roman" w:eastAsia="Times New Roman" w:hAnsi="Times New Roman"/>
          <w:b w:val="false"/>
          <w:bCs w:val="false"/>
          <w:i w:val="false"/>
          <w:iCs w:val="false"/>
          <w:sz w:val="22"/>
          <w:szCs w:val="22"/>
        </w:rPr>
        <w:t xml:space="preserve"> — every flood flow reconstructs better than every benign flow — and it is </w:t>
      </w:r>
      <w:r>
        <w:rPr>
          <w:rFonts w:ascii="Times New Roman" w:cs="Times New Roman" w:eastAsia="Times New Roman" w:hAnsi="Times New Roman"/>
          <w:b w:val="false"/>
          <w:bCs w:val="false"/>
          <w:i w:val="false"/>
          <w:iCs w:val="false"/>
          <w:sz w:val="22"/>
          <w:szCs w:val="22"/>
        </w:rPr>
        <w:t xml:space="preserve">0.0111</w:t>
      </w:r>
      <w:r>
        <w:rPr>
          <w:rFonts w:ascii="Times New Roman" w:cs="Times New Roman" w:eastAsia="Times New Roman" w:hAnsi="Times New Roman"/>
          <w:b w:val="false"/>
          <w:bCs w:val="false"/>
          <w:i w:val="false"/>
          <w:iCs w:val="false"/>
          <w:sz w:val="22"/>
          <w:szCs w:val="22"/>
        </w:rPr>
        <w:t xml:space="preserve">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w:t>
      </w:r>
      <w:r>
        <w:rPr>
          <w:rFonts w:ascii="Times New Roman" w:cs="Times New Roman" w:eastAsia="Times New Roman" w:hAnsi="Times New Roman"/>
          <w:b w:val="false"/>
          <w:bCs w:val="false"/>
          <w:i w:val="false"/>
          <w:iCs w:val="false"/>
          <w:sz w:val="22"/>
          <w:szCs w:val="22"/>
        </w:rPr>
        <w:t xml:space="preserve">0.0303</w:t>
      </w:r>
      <w:r>
        <w:rPr>
          <w:rFonts w:ascii="Times New Roman" w:cs="Times New Roman" w:eastAsia="Times New Roman" w:hAnsi="Times New Roman"/>
          <w:b w:val="false"/>
          <w:bCs w:val="false"/>
          <w:i w:val="false"/>
          <w:iCs w:val="false"/>
          <w:sz w:val="22"/>
          <w:szCs w:val="22"/>
        </w:rPr>
        <w:t xml:space="preserve">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rPr>
        <w:t xml:space="preserve">0.8969</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rPr>
        <w:t xml:space="preserve">0.8700</w:t>
      </w:r>
      <w:r>
        <w:rPr>
          <w:rFonts w:ascii="Times New Roman" w:cs="Times New Roman" w:eastAsia="Times New Roman" w:hAnsi="Times New Roman"/>
          <w:b w:val="false"/>
          <w:bCs w:val="false"/>
          <w:i w:val="false"/>
          <w:iCs w:val="false"/>
          <w:sz w:val="22"/>
          <w:szCs w:val="22"/>
        </w:rPr>
        <w:t xml:space="preserve">)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is that volumetric floods are </w:t>
      </w:r>
      <w:r>
        <w:rPr>
          <w:rFonts w:ascii="Times New Roman" w:cs="Times New Roman" w:eastAsia="Times New Roman" w:hAnsi="Times New Roman"/>
          <w:b w:val="false"/>
          <w:bCs w:val="false"/>
          <w:i/>
          <w:iCs/>
          <w:sz w:val="22"/>
          <w:szCs w:val="22"/>
        </w:rPr>
        <w:t xml:space="preserve">structurally simpler</w:t>
      </w:r>
      <w:r>
        <w:rPr>
          <w:rFonts w:ascii="Times New Roman" w:cs="Times New Roman" w:eastAsia="Times New Roman" w:hAnsi="Times New Roman"/>
          <w:b w:val="false"/>
          <w:bCs w:val="false"/>
          <w:i w:val="false"/>
          <w:iCs w:val="false"/>
          <w:sz w:val="22"/>
          <w:szCs w:val="22"/>
        </w:rPr>
        <w:t xml:space="preserve"> than legitimate traffic: a saturating stream of near-identical packets is easy to reconstruct, whereas benign office traffic is diverse. Reconstruction error therefore ranks the most damaging attacks as the most normal. The information is present — an AUROC of </w:t>
      </w:r>
      <w:r>
        <w:rPr>
          <w:rFonts w:ascii="Times New Roman" w:cs="Times New Roman" w:eastAsia="Times New Roman" w:hAnsi="Times New Roman"/>
          <w:b w:val="false"/>
          <w:bCs w:val="false"/>
          <w:i w:val="false"/>
          <w:iCs w:val="false"/>
          <w:sz w:val="22"/>
          <w:szCs w:val="22"/>
        </w:rPr>
        <w:t xml:space="preserve">0.0000</w:t>
      </w:r>
      <w:r>
        <w:rPr>
          <w:rFonts w:ascii="Times New Roman" w:cs="Times New Roman" w:eastAsia="Times New Roman" w:hAnsi="Times New Roman"/>
          <w:b w:val="false"/>
          <w:bCs w:val="false"/>
          <w:i w:val="false"/>
          <w:iCs w:val="false"/>
          <w:sz w:val="22"/>
          <w:szCs w:val="22"/>
        </w:rPr>
        <w:t xml:space="preserve"> is a perfect detector with the sign reversed — but the standard decision rule “high reconstruction error implies anomaly” has the wrong polarity for this threat class. An operator deploying such a detector on flood traffic would be systematically misled, and no threshold choice would repair it.</w:t>
      </w:r>
    </w:p>
    <w:p>
      <w:pPr>
        <w:keepNext/>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wp:inline distT="0" distB="0" distL="0" distR="0">
            <wp:extent cx="489585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895850" cy="24955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8 and Figure 9 give single-core CPU measurements. XGBoost delivers the joint-best macro-F1 at 46 317 flows/s with a 1.12 ms median latency and a 2.13 MB model — seven times faster than LightGBM (6 281 flows/s) at identical accuracy, and a hundred times faster than the FT-Transformer (430 flows/s), which leads only under the temporal protocol. Random forest pays 55 ms of median latency for accuracy it does not win, and </w:t>
      </w:r>
      <w:r>
        <w:rPr>
          <w:rFonts w:ascii="Times New Roman" w:cs="Times New Roman" w:eastAsia="Times New Roman" w:hAnsi="Times New Roman"/>
          <w:b w:val="false"/>
          <w:bCs w:val="false"/>
          <w:i w:val="false"/>
          <w:iCs w:val="false"/>
          <w:sz w:val="22"/>
          <w:szCs w:val="22"/>
        </w:rPr>
        <w:t xml:space="preserve">k</w:t>
      </w:r>
      <w:r>
        <w:rPr>
          <w:rFonts w:ascii="Times New Roman" w:cs="Times New Roman" w:eastAsia="Times New Roman" w:hAnsi="Times New Roman"/>
          <w:b w:val="false"/>
          <w:bCs w:val="false"/>
          <w:i w:val="false"/>
          <w:iCs w:val="false"/>
          <w:sz w:val="22"/>
          <w:szCs w:val="22"/>
        </w:rPr>
        <w:t xml:space="preserve">-NN is the worst of both worlds (1 875 flows/s, 11.4 MB). Logistic regression, at 1.14 M flows/s and </w:t>
      </w:r>
      <w:r>
        <w:rPr>
          <w:rFonts w:ascii="Times New Roman" w:cs="Times New Roman" w:eastAsia="Times New Roman" w:hAnsi="Times New Roman"/>
          <w:b w:val="false"/>
          <w:bCs w:val="false"/>
          <w:i w:val="false"/>
          <w:iCs w:val="false"/>
          <w:sz w:val="22"/>
          <w:szCs w:val="22"/>
        </w:rPr>
        <w:t xml:space="preserve">0.9990</w:t>
      </w:r>
      <w:r>
        <w:rPr>
          <w:rFonts w:ascii="Times New Roman" w:cs="Times New Roman" w:eastAsia="Times New Roman" w:hAnsi="Times New Roman"/>
          <w:b w:val="false"/>
          <w:bCs w:val="false"/>
          <w:i w:val="false"/>
          <w:iCs w:val="false"/>
          <w:sz w:val="22"/>
          <w:szCs w:val="22"/>
        </w:rPr>
        <w:t xml:space="preserve"> macro-F1, is the natural choice when throughput dominates.</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XGBoost on the audited feature set is the defensible default: joint-best accuracy, highest throughput among the accurate models, smallest latency tail among the tree ensembles. Where the deployment must survive drift in attack timing, the FT-Transformer's temporal-protocol margin (</w:t>
      </w:r>
      <w:r>
        <w:rPr>
          <w:rFonts w:ascii="Times New Roman" w:cs="Times New Roman" w:eastAsia="Times New Roman" w:hAnsi="Times New Roman"/>
          <w:b w:val="false"/>
          <w:bCs w:val="false"/>
          <w:i w:val="false"/>
          <w:iCs w:val="false"/>
          <w:sz w:val="22"/>
          <w:szCs w:val="22"/>
        </w:rPr>
        <w:t xml:space="preserve">0.9966</w:t>
      </w:r>
      <w:r>
        <w:rPr>
          <w:rFonts w:ascii="Times New Roman" w:cs="Times New Roman" w:eastAsia="Times New Roman" w:hAnsi="Times New Roman"/>
          <w:b w:val="false"/>
          <w:bCs w:val="false"/>
          <w:i w:val="false"/>
          <w:iCs w:val="false"/>
          <w:sz w:val="22"/>
          <w:szCs w:val="22"/>
        </w:rPr>
        <w:t xml:space="preserve"> versus </w:t>
      </w:r>
      <w:r>
        <w:rPr>
          <w:rFonts w:ascii="Times New Roman" w:cs="Times New Roman" w:eastAsia="Times New Roman" w:hAnsi="Times New Roman"/>
          <w:b w:val="false"/>
          <w:bCs w:val="false"/>
          <w:i w:val="false"/>
          <w:iCs w:val="false"/>
          <w:sz w:val="22"/>
          <w:szCs w:val="22"/>
        </w:rPr>
        <w:t xml:space="preserve">0.9888</w:t>
      </w:r>
      <w:r>
        <w:rPr>
          <w:rFonts w:ascii="Times New Roman" w:cs="Times New Roman" w:eastAsia="Times New Roman" w:hAnsi="Times New Roman"/>
          <w:b w:val="false"/>
          <w:bCs w:val="false"/>
          <w:i w:val="false"/>
          <w:iCs w:val="false"/>
          <w:sz w:val="22"/>
          <w:szCs w:val="22"/>
        </w:rPr>
        <w:t xml:space="preserve">) is worth its 100</w:t>
      </w:r>
      <w:r>
        <w:rPr>
          <w:rFonts w:ascii="Times New Roman" w:cs="Times New Roman" w:eastAsia="Times New Roman" w:hAnsi="Times New Roman"/>
          <w:b w:val="false"/>
          <w:bCs w:val="false"/>
          <w:i w:val="false"/>
          <w:iCs w:val="false"/>
          <w:sz w:val="22"/>
          <w:szCs w:val="22"/>
        </w:rPr>
        <w:t xml:space="preserve">×</w:t>
      </w:r>
      <w:r>
        <w:rPr>
          <w:rFonts w:ascii="Times New Roman" w:cs="Times New Roman" w:eastAsia="Times New Roman" w:hAnsi="Times New Roman"/>
          <w:b w:val="false"/>
          <w:bCs w:val="false"/>
          <w:i w:val="false"/>
          <w:iCs w:val="false"/>
          <w:sz w:val="22"/>
          <w:szCs w:val="22"/>
        </w:rPr>
        <w:t xml:space="preserve"> cost only if the certified throughput budget allows it.</w:t>
      </w:r>
    </w:p>
    <w:p>
      <w:pPr>
        <w:keepNext/>
        <w:spacing w:after="100" w:before="240"/>
        <w:jc w:val="both"/>
      </w:pPr>
      <w:r>
        <w:rPr>
          <w:rFonts w:ascii="Calibri" w:cs="Calibri" w:eastAsia="Calibri" w:hAnsi="Calibri"/>
          <w:b/>
          <w:bCs/>
          <w:sz w:val="18"/>
          <w:szCs w:val="18"/>
        </w:rPr>
        <w:t xml:space="preserve">Table 8. </w:t>
      </w:r>
      <w:r>
        <w:rPr>
          <w:rFonts w:ascii="Calibri" w:cs="Calibri" w:eastAsia="Calibri" w:hAnsi="Calibri"/>
          <w:b w:val="false"/>
          <w:bCs w:val="false"/>
          <w:i w:val="false"/>
          <w:iCs w:val="false"/>
          <w:sz w:val="18"/>
          <w:szCs w:val="18"/>
        </w:rPr>
        <w:t xml:space="preserve">Single-core CPU inference cost, audited condition. Latency measured at batch size 1 over 200 samples; throughput at batch size 512.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w:t>
            </w:r>
            <w:r>
              <w:rPr>
                <w:rFonts w:ascii="Calibri" w:cs="Calibri" w:eastAsia="Calibri" w:hAnsi="Calibri"/>
                <w:b/>
                <w:bCs/>
                <w:i w:val="false"/>
                <w:iCs w:val="false"/>
                <w:sz w:val="18"/>
                <w:szCs w:val="18"/>
              </w:rPr>
              <w:t xml:space="preserve">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w:t>
            </w:r>
            <w:r>
              <w:rPr>
                <w:rFonts w:ascii="Calibri" w:cs="Calibri" w:eastAsia="Calibri" w:hAnsi="Calibri"/>
                <w:b/>
                <w:bCs/>
                <w:i w:val="false"/>
                <w:iCs w:val="false"/>
                <w:sz w:val="18"/>
                <w:szCs w:val="18"/>
              </w:rPr>
              <w:t xml:space="preserve">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46 317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6 281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55.02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7 738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80.86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151.15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1 139 252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78.48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150.82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3 803</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148.19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3 134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77.36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5 269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w:t>
            </w:r>
            <w:r>
              <w:rPr>
                <w:rFonts w:ascii="Calibri" w:cs="Calibri" w:eastAsia="Calibri" w:hAnsi="Calibri"/>
                <w:b w:val="false"/>
                <w:bCs w:val="false"/>
                <w:i w:val="false"/>
                <w:iCs w:val="false"/>
                <w:sz w:val="18"/>
                <w:szCs w:val="18"/>
              </w:rPr>
              <w:t xml:space="preserve">-NN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7.06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10.37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1 875</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0.54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0.88</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228 377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wp:inline distT="0" distB="0" distL="0" distR="0">
            <wp:extent cx="4410075"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10075" cy="2905125"/>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Inference cost against detection quality. Accuracy differences inside the leading group are not statistically significant; throughput differs by three orders of magnitude.</w:t>
      </w:r>
    </w:p>
    <w:p>
      <w:pPr>
        <w:pStyle w:val="Heading1"/>
        <w:keepNext/>
        <w:spacing w:after="120" w:before="320"/>
      </w:pPr>
      <w:r>
        <w:rPr>
          <w:rFonts w:ascii="Calibri" w:cs="Calibri" w:eastAsia="Calibri" w:hAnsi="Calibri"/>
          <w:b/>
          <w:bCs/>
          <w:color w:val="1F3864"/>
          <w:sz w:val="28"/>
          <w:szCs w:val="28"/>
        </w:rPr>
        <w:t xml:space="preserve">7.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 protocol robustness, calibration, cost, interval sensitivity — rather than to keep reporting fourth decimals.</w:t>
      </w:r>
    </w:p>
    <w:p>
      <w:pPr>
        <w:spacing w:after="120" w:line="276"/>
        <w:jc w:val="both"/>
      </w:pPr>
      <w:r>
        <w:rPr>
          <w:rFonts w:ascii="Times New Roman" w:cs="Times New Roman" w:eastAsia="Times New Roman" w:hAnsi="Times New Roman"/>
          <w:b/>
          <w:bCs/>
          <w:sz w:val="22"/>
          <w:szCs w:val="22"/>
        </w:rPr>
        <w:t xml:space="preserve">Auditing must not be delegated to attribution.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the eight behavioural shortcuts we identify are exactly the features that attribution methods score at zero. Any pipeline that selects candidate shortcuts using importance ranking, SHAP, or recursive elimination will, by construction, retain redundant shortcuts. Only an isolated, two-protocol evaluation of each feature exposes them. We expect this to generalise to any corpus produced by an exporter that emits several statistics of the same underlying quantity, which is the norm rather than the exception.</w:t>
      </w:r>
    </w:p>
    <w:p>
      <w:pPr>
        <w:spacing w:after="120" w:line="276"/>
        <w:jc w:val="both"/>
      </w:pPr>
      <w:r>
        <w:rPr>
          <w:rFonts w:ascii="Times New Roman" w:cs="Times New Roman" w:eastAsia="Times New Roman" w:hAnsi="Times New Roman"/>
          <w:b/>
          <w:bCs/>
          <w:sz w:val="22"/>
          <w:szCs w:val="22"/>
        </w:rPr>
        <w:t xml:space="preserve">Temporal evaluation is necessary but not sufficient. </w:t>
      </w:r>
      <w:r>
        <w:rPr>
          <w:rFonts w:ascii="Times New Roman" w:cs="Times New Roman" w:eastAsia="Times New Roman" w:hAnsi="Times New Roman"/>
          <w:b w:val="false"/>
          <w:bCs w:val="false"/>
          <w:i w:val="false"/>
          <w:iCs w:val="false"/>
          <w:sz w:val="22"/>
          <w:szCs w:val="22"/>
        </w:rPr>
        <w:t xml:space="preserve">The finding that the timestamp probe survives a per-class temporal split at </w:t>
      </w:r>
      <w:r>
        <w:rPr>
          <w:rFonts w:ascii="Times New Roman" w:cs="Times New Roman" w:eastAsia="Times New Roman" w:hAnsi="Times New Roman"/>
          <w:b w:val="false"/>
          <w:bCs w:val="false"/>
          <w:i w:val="false"/>
          <w:iCs w:val="false"/>
          <w:sz w:val="22"/>
          <w:szCs w:val="22"/>
        </w:rPr>
        <w:t xml:space="preserve">0.9862</w:t>
      </w:r>
      <w:r>
        <w:rPr>
          <w:rFonts w:ascii="Times New Roman" w:cs="Times New Roman" w:eastAsia="Times New Roman" w:hAnsi="Times New Roman"/>
          <w:b w:val="false"/>
          <w:bCs w:val="false"/>
          <w:i w:val="false"/>
          <w:iCs w:val="false"/>
          <w:sz w:val="22"/>
          <w:szCs w:val="22"/>
        </w:rPr>
        <w:t xml:space="preserve"> sharpens the standard methodological advice. Chronological evaluation defends against learning </w:t>
      </w:r>
      <w:r>
        <w:rPr>
          <w:rFonts w:ascii="Times New Roman" w:cs="Times New Roman" w:eastAsia="Times New Roman" w:hAnsi="Times New Roman"/>
          <w:b w:val="false"/>
          <w:bCs w:val="false"/>
          <w:i/>
          <w:iCs/>
          <w:sz w:val="22"/>
          <w:szCs w:val="22"/>
        </w:rPr>
        <w:t xml:space="preserve">future</w:t>
      </w:r>
      <w:r>
        <w:rPr>
          <w:rFonts w:ascii="Times New Roman" w:cs="Times New Roman" w:eastAsia="Times New Roman" w:hAnsi="Times New Roman"/>
          <w:b w:val="false"/>
          <w:bCs w:val="false"/>
          <w:i w:val="false"/>
          <w:iCs w:val="false"/>
          <w:sz w:val="22"/>
          <w:szCs w:val="22"/>
        </w:rPr>
        <w:t xml:space="preserve"> information; it does not defend against learning </w:t>
      </w:r>
      <w:r>
        <w:rPr>
          <w:rFonts w:ascii="Times New Roman" w:cs="Times New Roman" w:eastAsia="Times New Roman" w:hAnsi="Times New Roman"/>
          <w:b w:val="false"/>
          <w:bCs w:val="false"/>
          <w:i/>
          <w:iCs/>
          <w:sz w:val="22"/>
          <w:szCs w:val="22"/>
        </w:rPr>
        <w:t xml:space="preserve">which window belongs to which class</w:t>
      </w:r>
      <w:r>
        <w:rPr>
          <w:rFonts w:ascii="Times New Roman" w:cs="Times New Roman" w:eastAsia="Times New Roman" w:hAnsi="Times New Roman"/>
          <w:b w:val="false"/>
          <w:bCs w:val="false"/>
          <w:i w:val="false"/>
          <w:iCs w:val="false"/>
          <w:sz w:val="22"/>
          <w:szCs w:val="22"/>
        </w:rPr>
        <w:t xml:space="preserve"> when the windows are disjoint by construction. Corpora generated by sequential attack scenarios — which includes most CyberRange-produced datasets — need feature exclusion in addition to temporal splitting, and the two remedies are not interchangeable.</w:t>
      </w: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8. Threats to validity</w:t>
      </w:r>
    </w:p>
    <w:p>
      <w:pPr>
        <w:spacing w:after="120" w:line="276"/>
        <w:jc w:val="both"/>
      </w:pPr>
      <w:r>
        <w:rPr>
          <w:rFonts w:ascii="Times New Roman" w:cs="Times New Roman" w:eastAsia="Times New Roman" w:hAnsi="Times New Roman"/>
          <w:b/>
          <w:bCs/>
          <w:sz w:val="22"/>
          <w:szCs w:val="22"/>
        </w:rPr>
        <w:t xml:space="preserve">The exclusion threshold. </w:t>
      </w:r>
      <w:r>
        <w:rPr>
          <w:rFonts w:ascii="Times New Roman" w:cs="Times New Roman" w:eastAsia="Times New Roman" w:hAnsi="Times New Roman"/>
          <w:b w:val="false"/>
          <w:bCs w:val="false"/>
          <w:i w:val="false"/>
          <w:iCs w:val="false"/>
          <w:sz w:val="22"/>
          <w:szCs w:val="22"/>
        </w:rPr>
        <w:t xml:space="preserve">The blacklist depends on a rule with two constants. The transferability gap between </w:t>
      </w:r>
      <w:r>
        <w:rPr>
          <w:rFonts w:ascii="Times New Roman" w:cs="Times New Roman" w:eastAsia="Times New Roman" w:hAnsi="Times New Roman"/>
          <w:b w:val="false"/>
          <w:bCs w:val="false"/>
          <w:i w:val="false"/>
          <w:iCs w:val="false"/>
          <w:sz w:val="22"/>
          <w:szCs w:val="22"/>
        </w:rPr>
        <w:t xml:space="preserve">0.49</w:t>
      </w:r>
      <w:r>
        <w:rPr>
          <w:rFonts w:ascii="Times New Roman" w:cs="Times New Roman" w:eastAsia="Times New Roman" w:hAnsi="Times New Roman"/>
          <w:b w:val="false"/>
          <w:bCs w:val="false"/>
          <w:i w:val="false"/>
          <w:iCs w:val="false"/>
          <w:sz w:val="22"/>
          <w:szCs w:val="22"/>
        </w:rPr>
        <w:t xml:space="preserve"> and </w:t>
      </w:r>
      <w:r>
        <w:rPr>
          <w:rFonts w:ascii="Times New Roman" w:cs="Times New Roman" w:eastAsia="Times New Roman" w:hAnsi="Times New Roman"/>
          <w:b w:val="false"/>
          <w:bCs w:val="false"/>
          <w:i w:val="false"/>
          <w:iCs w:val="false"/>
          <w:sz w:val="22"/>
          <w:szCs w:val="22"/>
        </w:rPr>
        <w:t xml:space="preserve">0.54</w:t>
      </w:r>
      <w:r>
        <w:rPr>
          <w:rFonts w:ascii="Times New Roman" w:cs="Times New Roman" w:eastAsia="Times New Roman" w:hAnsi="Times New Roman"/>
          <w:b w:val="false"/>
          <w:bCs w:val="false"/>
          <w:i w:val="false"/>
          <w:iCs w:val="false"/>
          <w:sz w:val="22"/>
          <w:szCs w:val="22"/>
        </w:rPr>
        <w:t xml:space="preserve"> means small perturbations of the </w:t>
      </w:r>
      <w:r>
        <w:rPr>
          <w:rFonts w:ascii="Times New Roman" w:cs="Times New Roman" w:eastAsia="Times New Roman" w:hAnsi="Times New Roman"/>
          <w:b w:val="false"/>
          <w:bCs w:val="false"/>
          <w:i w:val="false"/>
          <w:iCs w:val="false"/>
          <w:sz w:val="22"/>
          <w:szCs w:val="22"/>
        </w:rPr>
        <w:t xml:space="preserve">0.5</w:t>
      </w:r>
      <w:r>
        <w:rPr>
          <w:rFonts w:ascii="Times New Roman" w:cs="Times New Roman" w:eastAsia="Times New Roman" w:hAnsi="Times New Roman"/>
          <w:b w:val="false"/>
          <w:bCs w:val="false"/>
          <w:i w:val="false"/>
          <w:iCs w:val="false"/>
          <w:sz w:val="22"/>
          <w:szCs w:val="22"/>
        </w:rPr>
        <w:t xml:space="preserve"> threshold change nothing, but a threshold of </w:t>
      </w:r>
      <w:r>
        <w:rPr>
          <w:rFonts w:ascii="Times New Roman" w:cs="Times New Roman" w:eastAsia="Times New Roman" w:hAnsi="Times New Roman"/>
          <w:b w:val="false"/>
          <w:bCs w:val="false"/>
          <w:i w:val="false"/>
          <w:iCs w:val="false"/>
          <w:sz w:val="22"/>
          <w:szCs w:val="22"/>
        </w:rPr>
        <w:t xml:space="preserve">0.7</w:t>
      </w:r>
      <w:r>
        <w:rPr>
          <w:rFonts w:ascii="Times New Roman" w:cs="Times New Roman" w:eastAsia="Times New Roman" w:hAnsi="Times New Roman"/>
          <w:b w:val="false"/>
          <w:bCs w:val="false"/>
          <w:i w:val="false"/>
          <w:iCs w:val="false"/>
          <w:sz w:val="22"/>
          <w:szCs w:val="22"/>
        </w:rPr>
        <w:t xml:space="preserve"> would additionally exclude seven features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SIntPktIdl</w:t>
      </w:r>
      <w:r>
        <w:rPr>
          <w:rFonts w:ascii="Times New Roman" w:cs="Times New Roman" w:eastAsia="Times New Roman" w:hAnsi="Times New Roman"/>
          <w:b w:val="false"/>
          <w:bCs w:val="false"/>
          <w:i w:val="false"/>
          <w:iCs w:val="false"/>
          <w:sz w:val="22"/>
          <w:szCs w:val="22"/>
        </w:rPr>
        <w:t xml:space="preserve">). We publish the full spectrum (Figure 4) precisely so that this choice is inspectable and revisable; we do not claim the boundary is intrinsic to the data.</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5 029 benign test flows, the FPR resolution is 0.0199 points and macro-F1 differences below roughly </w:t>
      </w:r>
      <w:r>
        <w:rPr>
          <w:rFonts w:ascii="Times New Roman" w:cs="Times New Roman" w:eastAsia="Times New Roman" w:hAnsi="Times New Roman"/>
          <w:b w:val="false"/>
          <w:bCs w:val="false"/>
          <w:i w:val="false"/>
          <w:iCs w:val="false"/>
          <w:sz w:val="22"/>
          <w:szCs w:val="22"/>
        </w:rPr>
        <w:t xml:space="preserve">10⁻⁴</w:t>
      </w:r>
      <w:r>
        <w:rPr>
          <w:rFonts w:ascii="Times New Roman" w:cs="Times New Roman" w:eastAsia="Times New Roman" w:hAnsi="Times New Roman"/>
          <w:b w:val="false"/>
          <w:bCs w:val="false"/>
          <w:i w:val="false"/>
          <w:iCs w:val="false"/>
          <w:sz w:val="22"/>
          <w:szCs w:val="22"/>
        </w:rPr>
        <w:t xml:space="preserve">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sz w:val="22"/>
          <w:szCs w:val="22"/>
        </w:rPr>
        <w:t xml:space="preserve">Unequal search budgets.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Its temporal-protocol lead is therefore obtained with an essentially untuned configuration — which strengthens rather than weakens that particular finding, but means the tuned arm does not establish an equal-effort comparison for the deep models.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one protocol only. </w:t>
      </w:r>
      <w:r>
        <w:rPr>
          <w:rFonts w:ascii="Times New Roman" w:cs="Times New Roman" w:eastAsia="Times New Roman" w:hAnsi="Times New Roman"/>
          <w:b w:val="false"/>
          <w:bCs w:val="false"/>
          <w:i w:val="false"/>
          <w:iCs w:val="false"/>
          <w:sz w:val="22"/>
          <w:szCs w:val="22"/>
        </w:rPr>
        <w:t xml:space="preserve">Expected calibration error is computed on the stratified seed-1 partition. Since that partition is saturated, the finding “calibration has nothing to repair” may not extend to the temporal protocol, where accuracy is lower and confidences may be less reliable. Measuring calibration under temporal evaluation is the natural next step.</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Our conclusions about protocol and audit methodology are corpus-independent by construction; our conclusions about which detector wins are not.</w:t>
      </w:r>
    </w:p>
    <w:p>
      <w:pPr>
        <w:pStyle w:val="Heading1"/>
        <w:keepNext/>
        <w:spacing w:after="120" w:before="320"/>
      </w:pPr>
      <w:r>
        <w:rPr>
          <w:rFonts w:ascii="Calibri" w:cs="Calibri" w:eastAsia="Calibri" w:hAnsi="Calibri"/>
          <w:b/>
          <w:bCs/>
          <w:color w:val="1F3864"/>
          <w:sz w:val="28"/>
          <w:szCs w:val="28"/>
        </w:rPr>
        <w:t xml:space="preserve">9.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carry beyond this corpus. First, a shortcut audit cannot be built on attribution scores: all eight behavioural shortcuts we identify have permutation importance below </w:t>
      </w:r>
      <w:r>
        <w:rPr>
          <w:rFonts w:ascii="Times New Roman" w:cs="Times New Roman" w:eastAsia="Times New Roman" w:hAnsi="Times New Roman"/>
          <w:b w:val="false"/>
          <w:bCs w:val="false"/>
          <w:i w:val="false"/>
          <w:iCs w:val="false"/>
          <w:sz w:val="22"/>
          <w:szCs w:val="22"/>
        </w:rPr>
        <w:t xml:space="preserve">10⁻⁴</w:t>
      </w:r>
      <w:r>
        <w:rPr>
          <w:rFonts w:ascii="Times New Roman" w:cs="Times New Roman" w:eastAsia="Times New Roman" w:hAnsi="Times New Roman"/>
          <w:b w:val="false"/>
          <w:bCs w:val="false"/>
          <w:i w:val="false"/>
          <w:iCs w:val="false"/>
          <w:sz w:val="22"/>
          <w:szCs w:val="22"/>
        </w:rPr>
        <w:t xml:space="preserve">, because they are mutually redundant — six of them are numerically identical columns. Isolated two-protocol evaluation of each feature is required, and we give the procedure and the resulting spectrum. Second, temporal splitting does not neutralise a capture-schedule shortcut when attack windows are disjoint: a timestamp-only probe still reaches </w:t>
      </w:r>
      <w:r>
        <w:rPr>
          <w:rFonts w:ascii="Times New Roman" w:cs="Times New Roman" w:eastAsia="Times New Roman" w:hAnsi="Times New Roman"/>
          <w:b w:val="false"/>
          <w:bCs w:val="false"/>
          <w:i w:val="false"/>
          <w:iCs w:val="false"/>
          <w:sz w:val="22"/>
          <w:szCs w:val="22"/>
        </w:rPr>
        <w:t xml:space="preserve">0.9862</w:t>
      </w:r>
      <w:r>
        <w:rPr>
          <w:rFonts w:ascii="Times New Roman" w:cs="Times New Roman" w:eastAsia="Times New Roman" w:hAnsi="Times New Roman"/>
          <w:b w:val="false"/>
          <w:bCs w:val="false"/>
          <w:i w:val="false"/>
          <w:iCs w:val="false"/>
          <w:sz w:val="22"/>
          <w:szCs w:val="22"/>
        </w:rPr>
        <w:t xml:space="preserve"> under our per-class temporal protocol, against </w:t>
      </w:r>
      <w:r>
        <w:rPr>
          <w:rFonts w:ascii="Times New Roman" w:cs="Times New Roman" w:eastAsia="Times New Roman" w:hAnsi="Times New Roman"/>
          <w:b w:val="false"/>
          <w:bCs w:val="false"/>
          <w:i w:val="false"/>
          <w:iCs w:val="false"/>
          <w:sz w:val="22"/>
          <w:szCs w:val="22"/>
        </w:rPr>
        <w:t xml:space="preserve">0.9970</w:t>
      </w:r>
      <w:r>
        <w:rPr>
          <w:rFonts w:ascii="Times New Roman" w:cs="Times New Roman" w:eastAsia="Times New Roman" w:hAnsi="Times New Roman"/>
          <w:b w:val="false"/>
          <w:bCs w:val="false"/>
          <w:i w:val="false"/>
          <w:iCs w:val="false"/>
          <w:sz w:val="22"/>
          <w:szCs w:val="22"/>
        </w:rPr>
        <w:t xml:space="preserve"> under a random one. Feature exclusion is the operative remedy, not chronological ordering. Third, reconstruction-error anomaly detection is anti-correlated with volumetric floods — AUROC </w:t>
      </w:r>
      <w:r>
        <w:rPr>
          <w:rFonts w:ascii="Times New Roman" w:cs="Times New Roman" w:eastAsia="Times New Roman" w:hAnsi="Times New Roman"/>
          <w:b w:val="false"/>
          <w:bCs w:val="false"/>
          <w:i w:val="false"/>
          <w:iCs w:val="false"/>
          <w:sz w:val="22"/>
          <w:szCs w:val="22"/>
        </w:rPr>
        <w:t xml:space="preserve">0.0000</w:t>
      </w:r>
      <w:r>
        <w:rPr>
          <w:rFonts w:ascii="Times New Roman" w:cs="Times New Roman" w:eastAsia="Times New Roman" w:hAnsi="Times New Roman"/>
          <w:b w:val="false"/>
          <w:bCs w:val="false"/>
          <w:i w:val="false"/>
          <w:iCs w:val="false"/>
          <w:sz w:val="22"/>
          <w:szCs w:val="22"/>
        </w:rPr>
        <w:t xml:space="preserve">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 because floods are simpler to reconstruct than legitimate traffic.</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mid-table. We publish a twelve-feature blacklist, the frozen splits, the calibrated operating points,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10.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 pipeline, frozen split indices, feature blacklist, hyperparameter configurations, trained models, and the scripts that regenerate every figure and table — is released at </w:t>
      </w:r>
      <w:r>
        <w:rPr>
          <w:rFonts w:ascii="Times New Roman" w:cs="Times New Roman" w:eastAsia="Times New Roman" w:hAnsi="Times New Roman"/>
          <w:b/>
          <w:bCs/>
          <w:i w:val="false"/>
          <w:iCs w:val="false"/>
          <w:color w:val="C00000"/>
          <w:sz w:val="22"/>
          <w:szCs w:val="22"/>
        </w:rPr>
        <w:t xml:space="preserve">[A COMPLETER : repository URL and archival DOI]</w:t>
      </w:r>
      <w:r>
        <w:rPr>
          <w:rFonts w:ascii="Times New Roman" w:cs="Times New Roman" w:eastAsia="Times New Roman" w:hAnsi="Times New Roman"/>
          <w:b w:val="false"/>
          <w:bCs w:val="false"/>
          <w:i w:val="false"/>
          <w:iCs w:val="false"/>
          <w:sz w:val="22"/>
          <w:szCs w:val="22"/>
        </w:rPr>
        <w:t xml:space="preserve">.</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w:t>
      </w:r>
      <w:r>
        <w:rPr>
          <w:rFonts w:ascii="Times New Roman" w:cs="Times New Roman" w:eastAsia="Times New Roman" w:hAnsi="Times New Roman"/>
          <w:sz w:val="19"/>
          <w:szCs w:val="19"/>
        </w:rPr>
        <w:t xml:space="preserve">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w:t>
      </w:r>
      <w:r>
        <w:rPr>
          <w:rFonts w:ascii="Times New Roman" w:cs="Times New Roman" w:eastAsia="Times New Roman" w:hAnsi="Times New Roman"/>
          <w:sz w:val="19"/>
          <w:szCs w:val="19"/>
        </w:rPr>
        <w:t xml:space="preserve">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w:t>
      </w:r>
      <w:r>
        <w:rPr>
          <w:rFonts w:ascii="Times New Roman" w:cs="Times New Roman" w:eastAsia="Times New Roman" w:hAnsi="Times New Roman"/>
          <w:sz w:val="19"/>
          <w:szCs w:val="19"/>
        </w:rPr>
        <w:t xml:space="preserve">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w:t>
      </w:r>
      <w:r>
        <w:rPr>
          <w:rFonts w:ascii="Times New Roman" w:cs="Times New Roman" w:eastAsia="Times New Roman" w:hAnsi="Times New Roman"/>
          <w:sz w:val="19"/>
          <w:szCs w:val="19"/>
        </w:rPr>
        <w:t xml:space="preserve">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w:t>
      </w:r>
      <w:r>
        <w:rPr>
          <w:rFonts w:ascii="Times New Roman" w:cs="Times New Roman" w:eastAsia="Times New Roman" w:hAnsi="Times New Roman"/>
          <w:sz w:val="19"/>
          <w:szCs w:val="19"/>
        </w:rPr>
        <w:t xml:space="preserve">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w:t>
      </w:r>
      <w:r>
        <w:rPr>
          <w:rFonts w:ascii="Times New Roman" w:cs="Times New Roman" w:eastAsia="Times New Roman" w:hAnsi="Times New Roman"/>
          <w:sz w:val="19"/>
          <w:szCs w:val="19"/>
        </w:rPr>
        <w:t xml:space="preserve">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w:t>
      </w:r>
      <w:r>
        <w:rPr>
          <w:rFonts w:ascii="Times New Roman" w:cs="Times New Roman" w:eastAsia="Times New Roman" w:hAnsi="Times New Roman"/>
          <w:sz w:val="19"/>
          <w:szCs w:val="19"/>
        </w:rPr>
        <w:t xml:space="preserve">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w:t>
      </w:r>
      <w:r>
        <w:rPr>
          <w:rFonts w:ascii="Times New Roman" w:cs="Times New Roman" w:eastAsia="Times New Roman" w:hAnsi="Times New Roman"/>
          <w:sz w:val="19"/>
          <w:szCs w:val="19"/>
        </w:rPr>
        <w:t xml:space="preserve">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w:t>
      </w:r>
      <w:r>
        <w:rPr>
          <w:rFonts w:ascii="Times New Roman" w:cs="Times New Roman" w:eastAsia="Times New Roman" w:hAnsi="Times New Roman"/>
          <w:sz w:val="19"/>
          <w:szCs w:val="19"/>
        </w:rPr>
        <w:t xml:space="preserve">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w:t>
      </w:r>
      <w:r>
        <w:rPr>
          <w:rFonts w:ascii="Times New Roman" w:cs="Times New Roman" w:eastAsia="Times New Roman" w:hAnsi="Times New Roman"/>
          <w:sz w:val="19"/>
          <w:szCs w:val="19"/>
        </w:rPr>
        <w:t xml:space="preserve">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[11] </w:t>
      </w:r>
      <w:r>
        <w:rPr>
          <w:rFonts w:ascii="Times New Roman" w:cs="Times New Roman" w:eastAsia="Times New Roman" w:hAnsi="Times New Roman"/>
          <w:sz w:val="19"/>
          <w:szCs w:val="19"/>
        </w:rPr>
        <w:t xml:space="preserve">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[12] </w:t>
      </w:r>
      <w:r>
        <w:rPr>
          <w:rFonts w:ascii="Times New Roman" w:cs="Times New Roman" w:eastAsia="Times New Roman" w:hAnsi="Times New Roman"/>
          <w:sz w:val="19"/>
          <w:szCs w:val="19"/>
        </w:rPr>
        <w:t xml:space="preserve">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[13] </w:t>
      </w:r>
      <w:r>
        <w:rPr>
          <w:rFonts w:ascii="Times New Roman" w:cs="Times New Roman" w:eastAsia="Times New Roman" w:hAnsi="Times New Roman"/>
          <w:sz w:val="19"/>
          <w:szCs w:val="19"/>
        </w:rPr>
        <w:t xml:space="preserve">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[14] </w:t>
      </w:r>
      <w:r>
        <w:rPr>
          <w:rFonts w:ascii="Times New Roman" w:cs="Times New Roman" w:eastAsia="Times New Roman" w:hAnsi="Times New Roman"/>
          <w:sz w:val="19"/>
          <w:szCs w:val="19"/>
        </w:rPr>
        <w:t xml:space="preserve">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[15] </w:t>
      </w:r>
      <w:r>
        <w:rPr>
          <w:rFonts w:ascii="Times New Roman" w:cs="Times New Roman" w:eastAsia="Times New Roman" w:hAnsi="Times New Roman"/>
          <w:sz w:val="19"/>
          <w:szCs w:val="19"/>
        </w:rPr>
        <w:t xml:space="preserve">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[16] </w:t>
      </w:r>
      <w:r>
        <w:rPr>
          <w:rFonts w:ascii="Times New Roman" w:cs="Times New Roman" w:eastAsia="Times New Roman" w:hAnsi="Times New Roman"/>
          <w:sz w:val="19"/>
          <w:szCs w:val="19"/>
        </w:rPr>
        <w:t xml:space="preserve">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[17] </w:t>
      </w:r>
      <w:r>
        <w:rPr>
          <w:rFonts w:ascii="Times New Roman" w:cs="Times New Roman" w:eastAsia="Times New Roman" w:hAnsi="Times New Roman"/>
          <w:sz w:val="19"/>
          <w:szCs w:val="19"/>
        </w:rPr>
        <w:t xml:space="preserve">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[18] </w:t>
      </w:r>
      <w:r>
        <w:rPr>
          <w:rFonts w:ascii="Times New Roman" w:cs="Times New Roman" w:eastAsia="Times New Roman" w:hAnsi="Times New Roman"/>
          <w:sz w:val="19"/>
          <w:szCs w:val="19"/>
        </w:rPr>
        <w:t xml:space="preserve">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[19] </w:t>
      </w:r>
      <w:r>
        <w:rPr>
          <w:rFonts w:ascii="Times New Roman" w:cs="Times New Roman" w:eastAsia="Times New Roman" w:hAnsi="Times New Roman"/>
          <w:sz w:val="19"/>
          <w:szCs w:val="19"/>
        </w:rPr>
        <w:t xml:space="preserve">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[20] </w:t>
      </w:r>
      <w:r>
        <w:rPr>
          <w:rFonts w:ascii="Times New Roman" w:cs="Times New Roman" w:eastAsia="Times New Roman" w:hAnsi="Times New Roman"/>
          <w:sz w:val="19"/>
          <w:szCs w:val="19"/>
        </w:rPr>
        <w:t xml:space="preserve">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[21] </w:t>
      </w:r>
      <w:r>
        <w:rPr>
          <w:rFonts w:ascii="Times New Roman" w:cs="Times New Roman" w:eastAsia="Times New Roman" w:hAnsi="Times New Roman"/>
          <w:sz w:val="19"/>
          <w:szCs w:val="19"/>
        </w:rPr>
        <w:t xml:space="preserve">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[22] </w:t>
      </w:r>
      <w:r>
        <w:rPr>
          <w:rFonts w:ascii="Times New Roman" w:cs="Times New Roman" w:eastAsia="Times New Roman" w:hAnsi="Times New Roman"/>
          <w:sz w:val="19"/>
          <w:szCs w:val="19"/>
        </w:rPr>
        <w:t xml:space="preserve">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[23] </w:t>
      </w:r>
      <w:r>
        <w:rPr>
          <w:rFonts w:ascii="Times New Roman" w:cs="Times New Roman" w:eastAsia="Times New Roman" w:hAnsi="Times New Roman"/>
          <w:sz w:val="19"/>
          <w:szCs w:val="19"/>
        </w:rPr>
        <w:t xml:space="preserve">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[24] </w:t>
      </w:r>
      <w:r>
        <w:rPr>
          <w:rFonts w:ascii="Times New Roman" w:cs="Times New Roman" w:eastAsia="Times New Roman" w:hAnsi="Times New Roman"/>
          <w:sz w:val="19"/>
          <w:szCs w:val="19"/>
        </w:rPr>
        <w:t xml:space="preserve">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[25] </w:t>
      </w:r>
      <w:r>
        <w:rPr>
          <w:rFonts w:ascii="Times New Roman" w:cs="Times New Roman" w:eastAsia="Times New Roman" w:hAnsi="Times New Roman"/>
          <w:sz w:val="19"/>
          <w:szCs w:val="19"/>
        </w:rPr>
        <w:t xml:space="preserve">M. Shafi, A. H. Lashkari, V. Rodriguez, R. Nevo, Toward generating a new cloud-based distributed denial of service (DDoS) dataset and cloud intrusion traffic characterization, Information 15 (4) (2024) 195. https://doi.org/10.3390/info15040195.</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aabdfecdb48644b861e8adaaf15bcb74472bd75.png"/><Relationship Id="rId10" Type="http://schemas.openxmlformats.org/officeDocument/2006/relationships/image" Target="media/a645576a8767057271e6021b1f9fbc82aa0dca12.png"/><Relationship Id="rId11" Type="http://schemas.openxmlformats.org/officeDocument/2006/relationships/image" Target="media/3f5908d763bc3ea35f2445929c5c34470b8e0465.png"/><Relationship Id="rId12" Type="http://schemas.openxmlformats.org/officeDocument/2006/relationships/image" Target="media/bdc6287ec30a1b4493eeeac096ac0901f37eba83.png"/><Relationship Id="rId13" Type="http://schemas.openxmlformats.org/officeDocument/2006/relationships/image" Target="media/39cc415090d0430f0adc16b7af3fbb11073dd0d0.png"/><Relationship Id="rId14" Type="http://schemas.openxmlformats.org/officeDocument/2006/relationships/image" Target="media/ec1b7ff6f7a1a383f1f82fb20c5087e40e5b229b.png"/><Relationship Id="rId15" Type="http://schemas.openxmlformats.org/officeDocument/2006/relationships/image" Target="media/fd6966844768857f2a0e0f69ee8a1e60cda98fbf.png"/><Relationship Id="rId16" Type="http://schemas.openxmlformats.org/officeDocument/2006/relationships/image" Target="media/0107a79f26ad2de75ae008ab687ccb61ceed1beb.png"/><Relationship Id="rId17" Type="http://schemas.openxmlformats.org/officeDocument/2006/relationships/image" Target="media/47e86bb34d210152a67206236d505811c6aa02a9.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2026-08-06T13:33:29.056Z</dcterms:created>
  <dcterms:modified xsi:type="dcterms:W3CDTF">2026-08-06T13:33:29.057Z</dcterms:modified>
</cp:coreProperties>
</file>

<file path=docProps/custom.xml><?xml version="1.0" encoding="utf-8"?>
<Properties xmlns="http://schemas.openxmlformats.org/officeDocument/2006/custom-properties" xmlns:vt="http://schemas.openxmlformats.org/officeDocument/2006/docPropsVTypes"/>
</file>