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Network intrusion detection is benchmarked on shared corpora, and the first numbers published on a new corpus tend to become its reference numbers. GeNIS, released in 2025 from an independent CyberRange capture, is at that stage. We audit and benchmark it with eleven supervised detectors and one unsupervised detector, across three feature conditions, two evaluation protocols and five seeds on the primary condition: 154 training runs with paired significance testing. Three findings have methodological implications that may extend beyond this corpus, pending validation on further datasets. First, on GeNIS, attribution-based auditing failed to identify the behavioural shortcuts we found: all eight have permutation importance below 10⁻⁴ because they are mutually redundant, and six are numerically identical columns. The failure mode is mechanical rather than incidental, since perturbing one of several identical columns leaves the information carried by the others intact; our transferability audit, which evaluates each feature in isolation under two protocols, exposed them. Second, on GeNIS, chronological evaluation alone did not neutralise the capture-schedule shortcut created by disjoint attack windows: a timestamp-only classifier still reached 98.6% nine-class accuracy under our per-class temporal protocol, against 99.7% under a random split and a 19.4% majority-class rate, so feature exclusion was required in addition to temporal ordering. Third, the benign-trained autoencoder evaluated here was anti-correlated with volumetric floods, reaching AUROC 0.0000 against PSH-ACK floods, because flood traffic reconstructs more easily than legitimate traffic in this benchmark. For the corpus itself, the nine-class task is saturated under a random split, where eleven model pairs are statistically indistinguishable and the leaderboard is uninterpretable; the ranking becomes meaningful only under temporal evaluation, where the FT-Transformer leads at macro-F1 0.9966 and the gradient-boosted trees that dominate the random split fall to mid-table. We release a twelve-feature blacklist, the full transferability spectrum under two normalisations, frozen splits, calibrated operating points, single-host CPU inference cost for every detector, and the trained models, so that subsequent work on GeNIS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failed to identify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and Sections 7–8 discuss their scope and limits.</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Meanwhile, the most-cited benchmark on that corpus [10],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[11]. Its authors' companion study [6] validates binary and multiclass classification with five feature-selection methods over tree ensembles and deep networks, and stands as the official baseline this paper is anchored to.</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[12], and security is a domain where the stakes of the confusion are highest. Arp et al. catalogue the recurring pitfalls of security ML (sampling bias, spurious correlations, data snooping) and find them endemic in published work [13]. Two lines are directly upstream of ours. TESSERACT demonstrated that ignoring temporal structure inflates malware-classification results, and argued for chronologically consistent splits as a validity requirement rather than a robustness extra [14].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[15].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[16], and a detector whose confidence is dishonest cannot drive thresholded automation; temperature scaling [16] and selective classification with a reject option [17, 18] are the standard correctives, and uncertainty quantification is increasingly argued to be a first-class requirement for trustworthy NIDS [19]. Class imbalance interacts with all of this: under the natural distribution of GeNIS (7.4% benign traffic at the 60-second interval), accuracy is close to vacuous and metrics such as macro-F1 and the Matthews correlation coefficient are the informative ones [20]. Finally, the tabular-learning literature gives strong prior reason to include tree ensembles alongside deep detectors: gradient-boosted trees remain consistently competitive or superior on tabular data [21, 22], with attention-based architectures such as the FT-Transformer as the strongest deep contenders [23]. Inference cost is one dimension the GeNIS baseline already reports [6]; calibration, selective operating points, and confidence-bearing comparison are not, and this paper adds them to the same protocol.</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[24],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[10]</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[15]</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[19]</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[25]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1 gives the class distribution of that task.</w:t>
      </w:r>
    </w:p>
    <w:p>
      <w:pPr>
        <w:keepNext/>
        <w:spacing w:after="80" w:before="200"/>
        <w:jc w:val="center"/>
      </w:pPr>
      <w:r>
        <w:drawing>
          <wp:inline distT="0" distB="0" distL="0" distR="0">
            <wp:extent cx="5267325"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67325" cy="34290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 </w:t>
      </w:r>
      <w:r>
        <w:rPr>
          <w:rFonts w:ascii="Calibri" w:cs="Calibri" w:eastAsia="Calibri" w:hAnsi="Calibri"/>
          <w:b w:val="false"/>
          <w:bCs w:val="false"/>
          <w:i w:val="false"/>
          <w:iCs w:val="false"/>
          <w:sz w:val="18"/>
          <w:szCs w:val="18"/>
        </w:rPr>
        <w:t xml:space="preserve">Natural class distribution of the 60-second slice, preserved end to end by our protocol.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5 029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the descriptor's Table 12 (8 283 released versus 10 286 reported). The same discrepancy is present at every interval (32 590 flows at 5 s, 32 051 at 10 s and 30 481 at 30 s), of which the constant 27 733 reconnaissance flows are the larger part. Table 4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2).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wp:inline distT="0" distB="0" distL="0" distR="0">
            <wp:extent cx="612457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23812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This is the strictest temporal evaluation the corpus supports without emptying classes, and we verify the ordering invariant explicitly.</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8 quantifies what the choice costs. We keep τ as the operative rule, so that the blacklist used to train every model in this paper is the one the rule produced, and report τ* as a sensitivity analysis. The denominator is bounded below by 0.389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6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Pairwise model differences on the shared test partition are tested with McNemar's test under Holm correction, and macro-F1 carries 95% bootstrap confidence intervals over 1 000 resamples.</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5 029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the strongest current deep architecture for tabular data [23].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[10]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task is essentially solved: XGBoost and LightGBM reach macro-F1 1.0000 ± 0.0000 across five seeds, random forest and the FT-Transformer 0.9999, and nine of the eleven detectors exceed 0.99. McNemar tests with Holm correction confirm what the point estimates suggest (Figure 7):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9)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(3 089 of 5 029 benign flows misclassified), confirming that the near-perfect scores are a property of the corpus and the strong models, not of the metric. Figure 3 shows where the residual difficulty sits: for every strong detector the per-class F1 is above 0.99 on all nine classes, and naive Bayes is the only model with a class-level failure, collapsing on the benign class itself.</w:t>
      </w:r>
    </w:p>
    <w:p>
      <w:pPr>
        <w:keepNext/>
        <w:spacing w:after="80" w:before="20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337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only naive Bayes fails, and it fails on benign traffic.</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4):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0.9862. The reason is structural. Because each class occupies narrow, mutually disjoint windows (Figure 2),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[14] may be necessary but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4 plots the two quantities against each other.</w:t>
      </w:r>
    </w:p>
    <w:p>
      <w:pPr>
        <w:keepNext/>
        <w:spacing w:after="80" w:before="200"/>
        <w:jc w:val="center"/>
      </w:pPr>
      <w:r>
        <w:drawing>
          <wp:inline distT="0" distB="0" distL="0" distR="0">
            <wp:extent cx="5267325"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67325" cy="41529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failed to identify any of these eight features, whereas our isolated, two-protocol evaluation exposed them. The failure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[26, 27].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5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6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0.05,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5, so the chance-corrected ratio formalises the same uncertain boundary that the raw ratio made visible without being able to place it. Applying τ* &lt; 0.5 is equivalent, on this corpus, to raising the raw threshold to approximately 0.61. We report this rather than choose the reading that flatters the rule.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8 states what this does and does not put at risk.</w:t>
      </w:r>
    </w:p>
    <w:p>
      <w:pPr>
        <w:keepNext/>
        <w:spacing w:after="80" w:before="200"/>
        <w:jc w:val="center"/>
      </w:pPr>
      <w:r>
        <w:drawing>
          <wp:inline distT="0" distB="0" distL="0" distR="0">
            <wp:extent cx="459105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6576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8).</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4.2.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80" w:before="200"/>
        <w:jc w:val="center"/>
      </w:pPr>
      <w:r>
        <w:drawing>
          <wp:inline distT="0" distB="0" distL="0" distR="0">
            <wp:extent cx="6124575" cy="315487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154876"/>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9).</w:t>
      </w:r>
    </w:p>
    <w:p>
      <w:pPr>
        <w:keepNext/>
        <w:spacing w:after="80" w:before="200"/>
        <w:jc w:val="center"/>
      </w:pPr>
      <w:r>
        <w:drawing>
          <wp:inline distT="0" distB="0" distL="0" distR="0">
            <wp:extent cx="4410075" cy="490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10075" cy="4905375"/>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9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8).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that supports a ranking at all.</w:t>
      </w:r>
    </w:p>
    <w:p>
      <w:pPr>
        <w:keepNext/>
        <w:spacing w:after="80" w:before="200"/>
        <w:jc w:val="center"/>
      </w:pPr>
      <w:r>
        <w:drawing>
          <wp:inline distT="0" distB="0" distL="0" distR="0">
            <wp:extent cx="61245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26098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wp:inline distT="0" distB="0" distL="0" distR="0">
            <wp:extent cx="478155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81550" cy="27813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7).</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4).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5 gives the effect on detection. The boosted trees are essentially interval-invariant: XGBoost holds 1.0000 at 5, 10 and 60 s and 0.9999 at 30 s, and LightGBM holds ≥ 0.9999 except at 10 s, where one seed of three collapses (0.9458 ± 0.0766): its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F1 falls to 0.056 on that seed while the other two stay at 0.999 and 1.000, and it is that single failure that pulls the three-seed mean for the family down to 0.685.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10 resolves this by family. Detectability is uniformly high for the five denial-of-service families at every interval; the cost of shortening the window falls almost entirely on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whose F1 drops to 0.685 at 10 s. Brute-force traffic is low-rate and bursty, so shorter windows fragment the very pattern that distinguishes it, whereas floods remain volumetrically obvious at any aggregation.</w:t>
      </w:r>
    </w:p>
    <w:p>
      <w:pPr>
        <w:keepNext/>
        <w:spacing w:after="80" w:before="200"/>
        <w:jc w:val="center"/>
      </w:pPr>
      <w:r>
        <w:drawing>
          <wp:inline distT="0" distB="0" distL="0" distR="0">
            <wp:extent cx="4162425"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62425" cy="29146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Per-class F1 across aggregation intervals (LightGBM, audited). Only the low-rate brute-force families are sensitive to the window length.</w:t>
      </w:r>
    </w:p>
    <w:p>
      <w:pPr>
        <w:keepNext/>
        <w:spacing w:after="100" w:before="240"/>
        <w:jc w:val="both"/>
      </w:pPr>
      <w:r>
        <w:rPr>
          <w:rFonts w:ascii="Calibri" w:cs="Calibri" w:eastAsia="Calibri" w:hAnsi="Calibri"/>
          <w:b/>
          <w:bCs/>
          <w:sz w:val="18"/>
          <w:szCs w:val="18"/>
        </w:rPr>
        <w:t xml:space="preserve">Table 4.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Macro-F1 by aggregation interval, audited condition, with the standard deviation following the ±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near-perfect on the stratified GeNIS benchmark,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6 reports both.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7, Figure 11)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Whether the same polarity failure appears for other reconstruction-based detectors, or on floods captured elsewhere, is a question this single corpus cannot settle.</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wp:inline distT="0" distB="0" distL="0" distR="0">
            <wp:extent cx="489585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895850" cy="24955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8 and Figure 12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8.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wp:inline distT="0" distB="0" distL="0" distR="0">
            <wp:extent cx="4410075" cy="312105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10075" cy="3121051"/>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[26, 27]; what we cannot establish from one corpus is how often exporters emit several statistics of the same underlying quantity, though we would expect it to be common.</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Whether other CyberRange-produced corpora share that structure is an empirical question we have not tested.</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8). The four axes below are all measured on a stable basis, Table 10 collects them and Figure 13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 is the result we did not expect.</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stays at macro-F1 1.0000 with a zero false-positive rate at 5, 10, 30 and 60 seconds. The DNN is not: it falls from 0.9981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Expected calibration error is at most 0.0009 for every model except naive Bayes, so calibration in the usual sense is not the discriminating criterion.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10.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8).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1.0000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wp:inline distT="0" distB="0" distL="0" distR="0">
            <wp:extent cx="5267325" cy="3973111"/>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67325" cy="3973111"/>
                    </a:xfrm>
                    <a:prstGeom prst="rect">
                      <a:avLst/>
                    </a:prstGeom>
                  </pic:spPr>
                </pic:pic>
              </a:graphicData>
            </a:graphic>
          </wp:inline>
        </w:drawing>
      </w:r>
    </w:p>
    <w:p>
      <w:pPr>
        <w:spacing w:after="120" w:line="276" w:lineRule="auto"/>
        <w:jc w:val="both"/>
      </w:pPr>
      <w:r>
        <w:rPr>
          <w:rFonts w:ascii="Calibri" w:eastAsia="Calibri" w:hAnsi="Calibri" w:cs="Calibri"/>
          <w:b/>
          <w:bCs/>
          <w:sz w:val="18"/>
          <w:szCs w:val="18"/>
        </w:rPr>
        <w:t xml:space="preserve">Figure 13.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11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11.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8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[10]</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[15]</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[19]</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corpus;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8.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9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 0.54]</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5 029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one protocol only. </w:t>
      </w:r>
      <w:r>
        <w:rPr>
          <w:rFonts w:ascii="Times New Roman" w:cs="Times New Roman" w:eastAsia="Times New Roman" w:hAnsi="Times New Roman"/>
          <w:b w:val="false"/>
          <w:bCs w:val="false"/>
          <w:i w:val="false"/>
          <w:iCs w:val="false"/>
          <w:sz w:val="22"/>
          <w:szCs w:val="22"/>
        </w:rPr>
        <w:t xml:space="preserve">Expected calibration error is computed on the stratified seed-1 partition. Since that partition is saturated, the finding that calibration had little left to repair may not extend to the temporal protocol, where accuracy is lower and confidences may be less reliable. Measuring calibration under temporal evaluation is the natural next step.</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result in this paper was measured on that one corpus.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9.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failed to identify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We publish a twelve-feature blacklist together with the full transferability spectrum under both normalisations, from which a stricter seventeen-feature blacklist can be derived, as well as the frozen splits, the calibrated operating points,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10.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comprising the pipeline, the frozen split indices, the feature blacklist, the transferability spectrum under both normalisations, the hyperparameter configurations, the trained models, and the scripts that regenerate every figure and table, is released at https://github.com/bahriala2/GeNIS2025 and archived at </w:t>
      </w:r>
      <w:r>
        <w:rPr>
          <w:rFonts w:ascii="Times New Roman" w:cs="Times New Roman" w:eastAsia="Times New Roman" w:hAnsi="Times New Roman"/>
          <w:b/>
          <w:bCs/>
          <w:i w:val="false"/>
          <w:iCs w:val="false"/>
          <w:color w:val="C00000"/>
          <w:sz w:val="22"/>
          <w:szCs w:val="22"/>
        </w:rPr>
        <w:t xml:space="preserve">[A COMPLETER : archival DOI]</w:t>
      </w:r>
      <w:r>
        <w:rPr>
          <w:rFonts w:ascii="Times New Roman" w:cs="Times New Roman" w:eastAsia="Times New Roman" w:hAnsi="Times New Roman"/>
          <w:b w:val="false"/>
          <w:bCs w:val="false"/>
          <w:i w:val="false"/>
          <w:iCs w:val="false"/>
          <w:sz w:val="22"/>
          <w:szCs w:val="22"/>
        </w:rPr>
        <w:t xml:space="preserve">.</w:t>
      </w:r>
    </w:p>
    <w:p>
      <w:pPr>
        <w:pStyle w:val="Heading1"/>
        <w:keepNext/>
        <w:spacing w:after="120" w:before="320"/>
      </w:pPr>
      <w:r>
        <w:rPr>
          <w:rFonts w:ascii="Calibri" w:cs="Calibri" w:eastAsia="Calibri" w:hAnsi="Calibri"/>
          <w:b/>
          <w:bCs/>
          <w:color w:val="1F3864"/>
          <w:sz w:val="28"/>
          <w:szCs w:val="28"/>
        </w:rPr>
        <w:t xml:space="preserve">11.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[11]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[12]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[13]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[14]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[15]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[16]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[17]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[18]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[19]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[20]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[21]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[22]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[23]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[24]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[25]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[26]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[27] G. Hooker, L. Mentch, S. Zhou, Unrestricted permutation forces extrapolation: variable importance requires at least one more model, or there is no free variable importance, Statistics and Computing 31 (82) (2021). https://doi.org/10.1007/s11222-021-10057-z.</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