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its three runs are 0.9999, 1.0000 and 0.8374. The third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 and 0.00% for the other two seeds. We give the three figures rather than the 0.9458 that averages them, because no run of this detector at this interval scored anything near 0.9458.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the unequal seed counts do and do not put at risk. </w:t>
      </w:r>
      <w:r>
        <w:rPr>
          <w:rFonts w:ascii="Times New Roman" w:cs="Times New Roman" w:eastAsia="Times New Roman" w:hAnsi="Times New Roman"/>
          <w:b w:val="false"/>
          <w:bCs w:val="false"/>
          <w:i w:val="false"/>
          <w:iCs w:val="false"/>
          <w:sz w:val="22"/>
          <w:szCs w:val="22"/>
        </w:rPr>
        <w:t xml:space="preserve">The interval study runs three seeds at 5, 10 and 30 s against five at 60 s, so the comparison across intervals is unbalanced and Table 6 shows exactly where. The imbalance is a budget decision and not a finding: the 5-second slice carries 2 773 578 flows and is the heaviest part of the campaign. It matters in one place only, the LightGBM collapse at 10 s, which three observations can neither confirm as instability nor dismiss as an accident. Two further seeds would settle it, and the repository includes the notebook that runs them; we state the question as open rather than answer it from three points. Nothing else in this subsection depends on the resolution: XGBoost is invariant across every run at every interval, and the DNN's decline is carried by all three of its seeds at each interval, with a spread never exceeding 0.045.</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No mean is given, deliberately. LightGBM at 10 s is why: its three runs are 0.9999, 1.0000 and 0.8374, and their mean of 0.9458 describes none of them. The em dashes are the two seeds the interval study did not run, and they mark a real limit rather than a typographical one; the paragraph below states what it costs.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