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pc="http://schemas.microsoft.com/office/word/2010/wordprocessingCanvas" xmlns:o="urn:schemas-microsoft-com:office:office"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Corresponding author</w:t>
      </w:r>
    </w:p>
    <w:p>
      <w:pPr>
        <w:spacing w:after="200" w:line="276"/>
        <w:jc w:val="both"/>
      </w:pPr>
      <w:r>
        <w:rPr>
          <w:rFonts w:ascii="Times New Roman" w:cs="Times New Roman" w:eastAsia="Times New Roman" w:hAnsi="Times New Roman"/>
          <w:b w:val="false"/>
          <w:bCs w:val="false"/>
          <w:i w:val="false"/>
          <w:iCs w:val="false"/>
          <w:sz w:val="21"/>
          <w:szCs w:val="21"/>
        </w:rPr>
        <w:t xml:space="preserve">Mohamed Ala Eddine Bahri, INSIGHT Lab, ISITCom, University of Sousse, Hammam Sousse 4011, Tunisia. Email: bahri.mohamedalaeddine@isitc.u-sousse.tn.</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Author email addresses</w:t>
      </w:r>
    </w:p>
    <w:p>
      <w:pPr>
        <w:spacing w:after="200" w:line="276"/>
        <w:jc w:val="both"/>
      </w:pPr>
      <w:r>
        <w:rPr>
          <w:rFonts w:ascii="Times New Roman" w:cs="Times New Roman" w:eastAsia="Times New Roman" w:hAnsi="Times New Roman"/>
          <w:b w:val="false"/>
          <w:bCs w:val="false"/>
          <w:i w:val="false"/>
          <w:iCs w:val="false"/>
          <w:sz w:val="21"/>
          <w:szCs w:val="21"/>
        </w:rPr>
        <w:t xml:space="preserve">Mohamed Ala Eddine Bahri: bahri.mohamedalaeddine@isitc.u-sousse.tn  Farah Jemili: Farah.JMILI@isitc.u-sousse.tn  Mohamed Mosbah: mohamed.mosbah@u-bordeaux.fr</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Acknowledgements</w:t>
      </w:r>
    </w:p>
    <w:p>
      <w:pPr>
        <w:spacing w:after="200" w:line="276"/>
        <w:jc w:val="both"/>
      </w:pPr>
      <w:r>
        <w:rPr>
          <w:rFonts w:ascii="Times New Roman" w:cs="Times New Roman" w:eastAsia="Times New Roman" w:hAnsi="Times New Roman"/>
          <w:b w:val="false"/>
          <w:bCs w:val="false"/>
          <w:i w:val="false"/>
          <w:iCs w:val="false"/>
          <w:sz w:val="21"/>
          <w:szCs w:val="21"/>
        </w:rPr>
        <w:t xml:space="preserve">None.</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Declaration of competing interest</w:t>
      </w:r>
    </w:p>
    <w:p>
      <w:pPr>
        <w:spacing w:after="200" w:line="276"/>
        <w:jc w:val="both"/>
      </w:pPr>
      <w:r>
        <w:rPr>
          <w:rFonts w:ascii="Times New Roman" w:cs="Times New Roman" w:eastAsia="Times New Roman" w:hAnsi="Times New Roman"/>
          <w:b w:val="false"/>
          <w:bCs w:val="false"/>
          <w:i w:val="false"/>
          <w:iCs w:val="false"/>
          <w:sz w:val="21"/>
          <w:szCs w:val="21"/>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spacing w:after="200" w:line="276"/>
        <w:jc w:val="both"/>
      </w:pPr>
      <w:r>
        <w:rPr>
          <w:rFonts w:ascii="Times New Roman" w:cs="Times New Roman" w:eastAsia="Times New Roman" w:hAnsi="Times New Roman"/>
          <w:b w:val="false"/>
          <w:bCs w:val="false"/>
          <w:i w:val="false"/>
          <w:iCs w:val="false"/>
          <w:sz w:val="21"/>
          <w:szCs w:val="21"/>
        </w:rPr>
        <w:t xml:space="preserve"/>
      </w:r>
    </w:p>
    <w:p>
      <w:pPr>
        <w:spacing w:after="200" w:line="276"/>
        <w:jc w:val="both"/>
      </w:pPr>
      <w:r>
        <w:rPr>
          <w:rFonts w:ascii="Times New Roman" w:cs="Times New Roman" w:eastAsia="Times New Roman" w:hAnsi="Times New Roman"/>
          <w:b w:val="false"/>
          <w:bCs w:val="false"/>
          <w:i w:val="false"/>
          <w:iCs w:val="false"/>
          <w:sz w:val="21"/>
          <w:szCs w:val="21"/>
        </w:rPr>
        <w:t xml:space="preserve">CRediT authorship contribution statement</w:t>
      </w:r>
    </w:p>
    <w:p>
      <w:pPr>
        <w:spacing w:after="200" w:line="276"/>
        <w:jc w:val="both"/>
      </w:pPr>
      <w:r>
        <w:rPr>
          <w:rFonts w:ascii="Times New Roman" w:cs="Times New Roman" w:eastAsia="Times New Roman" w:hAnsi="Times New Roman"/>
          <w:b w:val="false"/>
          <w:bCs w:val="false"/>
          <w:i w:val="false"/>
          <w:iCs w:val="false"/>
          <w:sz w:val="21"/>
          <w:szCs w:val="21"/>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of Eleven Intrusion Detectors on GeNIS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