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Detectors on the GeNIS 2025 Corpus: Calibration, Cost, and Protocol Robustness under the Natural Distribution</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and benchmark it over 154 runs across three feature conditions, two protocols and five seeds, with paired tests. Three findings have methodological implications, and we re-run the audit on CICIDS2017 to test the two it can reach.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per-class temporal split against a 19.4% majority. On CICIDS2017 it falls to 10.3%, so whether temporal splitting suffices is a corpus property to measure. The benign-trained autoencoder reached AUROC 0.0000 against PSH-ACK floods, below chance overall. For the corpus itself,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