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Eleven Detectors on the GeNIS 2025 Corpus: Calibration, Cost, and Protocol Robustness under the Natural Distribution</w:t>
      </w:r>
    </w:p>
    <w:p>
      <w:pPr>
        <w:spacing w:after="60"/>
        <w:jc w:val="center"/>
      </w:pPr>
      <w:r>
        <w:rPr>
          <w:rFonts w:ascii="Times New Roman" w:cs="Times New Roman" w:eastAsia="Times New Roman" w:hAnsi="Times New Roman"/>
          <w:sz w:val="24"/>
          <w:szCs w:val="24"/>
        </w:rPr>
        <w:t xml:space="preserve">Mohamed Ala Eddine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w:t>
      </w:r>
      <w:r>
        <w:rPr>
          <w:rFonts w:ascii="Times New Roman" w:cs="Times New Roman" w:eastAsia="Times New Roman" w:hAnsi="Times New Roman"/>
          <w:b w:val="false"/>
          <w:bCs w:val="false"/>
          <w:i w:val="false"/>
          <w:iCs w:val="false"/>
          <w:color w:val="444444"/>
          <w:sz w:val="20"/>
          <w:szCs w:val="20"/>
        </w:rPr>
        <w:t xml:space="preserve"> Corresponding author.</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published numbers become reference numbers. GeNIS, released in 2025 from an independent CyberRange capture, is at that stage. We audit and benchmark it over 154 runs across three feature conditions, two protocols and five seeds, with paired tests. Three findings have methodological implications, and we re-run the audit on CICIDS2017 to test the two it can reach. Attribution-based auditing scored all eight behavioural shortcuts below 10⁻⁴, because they are mutually redundant and six numerically identical. Only isolated two-protocol evaluation exposed them. CICIDS2017 carries seven such pairs, ten of whose columns score zero. Chronological evaluation alone did not neutralise the shortcut disjoint attack windows create, a timestamp-only probe reaching 98.6% nine-class accuracy under a per-class temporal split against a 19.4% majority. On CICIDS2017 it falls to 10.3%, so whether temporal splitting suffices is a corpus property to measure. The benign-trained autoencoder reached AUROC 0.0000 against PSH-ACK floods, below chance overall. For the corpus itself, a random split saturates the task, leaving eleven model pairs indistinguishable and the ranking uninterpretable. Under temporal evaluation the FT-Transformer leads and the boosted trees that dominated fall behind every neural detector and the linear model. Calibration degrades the same way for nine of eleven detectors. On cost, logistic regression leads XGBoost on four of five measured axes, trailing the best temporal macro-F1 by 0.0020 at 1 097 times its throughput. We release the blacklist, splits, calibration, cost and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GeNIS, benchmark, shortcut learning, data leakage, temporal evaluation, model calibration,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which detectors perform best, but whether the first published numbers on a new corpus measure traffic patterns or artefacts of its generation.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a classifier given only the capture timestamp separates the nine classes at 99.70% accuracy, against a majority-class rate of 19.42%.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before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positional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further study from the same laboratory that uses the corpus for machine unlearning [30], a goal orthogonal to benchmarking. No group independent of the corpus authors has published on GeNIS, which is the position this paper is written into.</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which fixes the resolution of every false-positive rate in this paper (Section 4.5).</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with the code of Section 11, as </w:t>
      </w:r>
      <w:r>
        <w:rPr>
          <w:rFonts w:ascii="Consolas" w:cs="Consolas" w:eastAsia="Times New Roman" w:hAnsi="Consolas"/>
          <w:b w:val="false"/>
          <w:bCs w:val="false"/>
          <w:i w:val="false"/>
          <w:iCs w:val="false"/>
          <w:sz w:val="22"/>
          <w:szCs w:val="22"/>
        </w:rPr>
        <w:t xml:space="preserve">experiments/verify_4preprocessed.py</w:t>
      </w:r>
      <w:r>
        <w:rPr>
          <w:rFonts w:ascii="Times New Roman" w:cs="Times New Roman" w:eastAsia="Times New Roman" w:hAnsi="Times New Roman"/>
          <w:b w:val="false"/>
          <w:bCs w:val="false"/>
          <w:i w:val="false"/>
          <w:iCs w:val="false"/>
          <w:sz w:val="22"/>
          <w:szCs w:val="22"/>
        </w:rPr>
        <w:t xml:space="preserv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all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global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of its own class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The narrower question it answers is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alone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temporal</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stratified</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and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all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and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The second is what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w:t>
      </w:r>
      <w:r>
        <w:rPr>
          <w:rFonts w:ascii="Consolas" w:cs="Consolas" w:eastAsia="Times New Roman" w:hAnsi="Consolas"/>
          <w:b w:val="false"/>
          <w:bCs w:val="false"/>
          <w:i w:val="false"/>
          <w:iCs w:val="false"/>
          <w:sz w:val="22"/>
          <w:szCs w:val="22"/>
        </w:rPr>
        <w:t xml:space="preserve">experiments/e4a/verify_nested_blacklist.py</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above-chance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but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4.3 it is 1.02, so single-feature accuracy is not lower under the temporal protocol but marginally higher.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on the validation metric it optimises; Section 6.5 shows that this guarantee does not carry over to the test partition. The budget is a declared time cap of 900 s per model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Seven detectors make up this group. They are a majority-class baseline, multinomial logistic regression, Gaussian naive Bayes and k-nearest neighbours, together with a random forest of 200 trees, XGBoost with 300 trees of depth 8 and histogram splits, and LightGBM with 300 trees and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exactly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with layer widths 64-32-16-32-64 is trained on benign flows only, and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because its O(n²) training is infeasible on 203 292 training flows within an equal budget, and because logistic regression already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Of the 45 model pairs, 11 are not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retained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numerically identical columns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invoked above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The quantities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IdleTime, at 0.94, is among the blue: this rule retains it, and the capture-file test of Section 4.3 is what excludes it.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improve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for the wrong reason.</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the eight of them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worse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loses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the one reported for the FT-Transformer under the temporal protocol, 0.050, is its floor; neither is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worse than chance.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better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five seeds, audited condition: the measurements of Table 9.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The worst of both worlds is k-NN, paying 621 flows/s, 25.8 ms and 11.4 MB for a temporal macro-F1 of 0.9574, eighth of nine. One caveat governs how the latency column may be read. The four Keras models return median latencies inside a 4.4% band (76.8 to 80.1 ms) although their batched throughput differs by a factor of 95, so that column is dominated by a fixed per-call overhead of the prediction API and is not comparable with the scikit-learn column. The throughput column does amortise that overhead. One call covers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on the audited condition as corrected in Section 9, over 54 columns. Latency is measured at batch size 1 over 200 samples. All detectors were measured within one session, with the Keras models pinned to the CPU and each library left at its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ten of the eleven detectors at five rolling origins, the FT-Transformer excepted for the cost recorded in Section 9,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on the audited condition as published and not re-run under the correction of Section 9.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for five of the eleven detectors and on the audited condition as published.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That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never falls below 0.9998 across its twenty runs, with a zero false-positive rate at every interval.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It is ahead of XGBoost on four of the five axes we measure for both — batched throughput, median latency, tail latency and temporal macro-F1 — and behind on one, stratified macro-F1, which is the axis this paper spends its length arguing is not interpretable on this corpus. XGBoost where the aggregation interval is outside the deployer's control: it is the only detector shown to hold macro-F1 at or above 0.9999 at 5, 10, 30 and 60 s, and it is unchanged to four decimals by tuning. That is not a comparison with logistic regression, which the interval study does not cover, and stating it as one would be the error this paper documents elsewhere.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The k-nearest neighbours detector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The majority baseline is omitted, since it predicts a constant and has no viability to report. Interval robustness was measured for the three detectors carried through the multi-interval study;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and carries no column of reported accuracies.</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eighteen-feature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eighteen-feature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and the τ* column seventeen where Sections 9 and 10 give eighteen. The operative row is the rule this paper applies. Computed from the released transferability table by </w:t>
      </w:r>
      <w:r>
        <w:rPr>
          <w:rFonts w:ascii="Consolas" w:cs="Consolas" w:eastAsia="Calibri" w:hAnsi="Consolas"/>
          <w:b w:val="false"/>
          <w:bCs w:val="false"/>
          <w:i w:val="false"/>
          <w:iCs w:val="false"/>
          <w:sz w:val="18"/>
          <w:szCs w:val="18"/>
        </w:rPr>
        <w:t xml:space="preserve">paper/sensitivity_threshold.py</w:t>
      </w:r>
      <w:r>
        <w:rPr>
          <w:rFonts w:ascii="Calibri" w:cs="Calibri" w:eastAsia="Calibri" w:hAnsi="Calibri"/>
          <w:b w:val="false"/>
          <w:bCs w:val="false"/>
          <w:i w:val="false"/>
          <w:iCs w:val="false"/>
          <w:sz w:val="18"/>
          <w:szCs w:val="18"/>
        </w:rPr>
        <w:t xml:space="preserve">,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no behavioural exclusion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eighteen-feature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w:t>
      </w:r>
      <w:r>
        <w:rPr>
          <w:rFonts w:ascii="Consolas" w:cs="Consolas" w:eastAsia="Times New Roman" w:hAnsi="Consolas"/>
          <w:b w:val="false"/>
          <w:bCs w:val="false"/>
          <w:i w:val="false"/>
          <w:iCs w:val="false"/>
          <w:sz w:val="22"/>
          <w:szCs w:val="22"/>
        </w:rPr>
        <w:t xml:space="preserve">experiments/e2</w:t>
      </w:r>
      <w:r>
        <w:rPr>
          <w:rFonts w:ascii="Times New Roman" w:cs="Times New Roman" w:eastAsia="Times New Roman" w:hAnsi="Times New Roman"/>
          <w:b w:val="false"/>
          <w:bCs w:val="false"/>
          <w:i w:val="false"/>
          <w:iCs w:val="false"/>
          <w:sz w:val="22"/>
          <w:szCs w:val="22"/>
        </w:rPr>
        <w:t xml:space="preserve">, and the two-protocol calibration and residual redundancy of Sections 6.2 and 6.5 under </w:t>
      </w:r>
      <w:r>
        <w:rPr>
          <w:rFonts w:ascii="Consolas" w:cs="Consolas" w:eastAsia="Times New Roman" w:hAnsi="Consolas"/>
          <w:b w:val="false"/>
          <w:bCs w:val="false"/>
          <w:i w:val="false"/>
          <w:iCs w:val="false"/>
          <w:sz w:val="22"/>
          <w:szCs w:val="22"/>
        </w:rPr>
        <w:t xml:space="preserve">experiments/e3</w:t>
      </w:r>
      <w:r>
        <w:rPr>
          <w:rFonts w:ascii="Times New Roman" w:cs="Times New Roman" w:eastAsia="Times New Roman" w:hAnsi="Times New Roman"/>
          <w:b w:val="false"/>
          <w:bCs w:val="false"/>
          <w:i w:val="false"/>
          <w:iCs w:val="false"/>
          <w:sz w:val="22"/>
          <w:szCs w:val="22"/>
        </w:rPr>
        <w:t xml:space="preserve">, each with the notebook that produced it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The correction of Section 9 is a third addition and it does retrain: the capture-file test that identifies the offending column is under </w:t>
      </w:r>
      <w:r>
        <w:rPr>
          <w:rFonts w:ascii="Consolas" w:cs="Consolas" w:eastAsia="Times New Roman" w:hAnsi="Consolas"/>
          <w:b w:val="false"/>
          <w:bCs w:val="false"/>
          <w:i w:val="false"/>
          <w:iCs w:val="false"/>
          <w:sz w:val="22"/>
          <w:szCs w:val="22"/>
        </w:rPr>
        <w:t xml:space="preserve">experiments/e7</w:t>
      </w:r>
      <w:r>
        <w:rPr>
          <w:rFonts w:ascii="Times New Roman" w:cs="Times New Roman" w:eastAsia="Times New Roman" w:hAnsi="Times New Roman"/>
          <w:b w:val="false"/>
          <w:bCs w:val="false"/>
          <w:i w:val="false"/>
          <w:iCs w:val="false"/>
          <w:sz w:val="22"/>
          <w:szCs w:val="22"/>
        </w:rPr>
        <w:t xml:space="preserve">, and the campaign that repeats the audited condition without it — 180 runs over fifteen configurations, two feature conditions, both protocols and five seeds, together with the re-measured inference cost and the paired tests of Figures 9 and 11 — is under </w:t>
      </w:r>
      <w:r>
        <w:rPr>
          <w:rFonts w:ascii="Consolas" w:cs="Consolas" w:eastAsia="Times New Roman" w:hAnsi="Consolas"/>
          <w:b w:val="false"/>
          <w:bCs w:val="false"/>
          <w:i w:val="false"/>
          <w:iCs w:val="false"/>
          <w:sz w:val="22"/>
          <w:szCs w:val="22"/>
        </w:rPr>
        <w:t xml:space="preserve">experiments/e8</w:t>
      </w:r>
      <w:r>
        <w:rPr>
          <w:rFonts w:ascii="Times New Roman" w:cs="Times New Roman" w:eastAsia="Times New Roman" w:hAnsi="Times New Roman"/>
          <w:b w:val="false"/>
          <w:bCs w:val="false"/>
          <w:i w:val="false"/>
          <w:iCs w:val="false"/>
          <w:sz w:val="22"/>
          <w:szCs w:val="22"/>
        </w:rPr>
        <w:t xml:space="preserve">, again with its notebook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Tables 2, 7, 8, 10 and 13 and Figures 5, 9, 10, 11, 14 and 18 are computed from that campaign by the scripts under </w:t>
      </w:r>
      <w:r>
        <w:rPr>
          <w:rFonts w:ascii="Consolas" w:cs="Consolas" w:eastAsia="Times New Roman" w:hAnsi="Consolas"/>
          <w:b w:val="false"/>
          <w:bCs w:val="false"/>
          <w:i w:val="false"/>
          <w:iCs w:val="false"/>
          <w:sz w:val="22"/>
          <w:szCs w:val="22"/>
        </w:rPr>
        <w:t xml:space="preserve">paper/</w:t>
      </w:r>
      <w:r>
        <w:rPr>
          <w:rFonts w:ascii="Times New Roman" w:cs="Times New Roman" w:eastAsia="Times New Roman" w:hAnsi="Times New Roman"/>
          <w:b w:val="false"/>
          <w:bCs w:val="false"/>
          <w:i w:val="false"/>
          <w:iCs w:val="false"/>
          <w:sz w:val="22"/>
          <w:szCs w:val="22"/>
        </w:rPr>
        <w:t xml:space="preserve">, each of which asserts the counts it reproduces. The disposition of every column is released in machine-readable form as </w:t>
      </w:r>
      <w:r>
        <w:rPr>
          <w:rFonts w:ascii="Consolas" w:cs="Consolas" w:eastAsia="Times New Roman" w:hAnsi="Consolas"/>
          <w:b w:val="false"/>
          <w:bCs w:val="false"/>
          <w:i w:val="false"/>
          <w:iCs w:val="false"/>
          <w:sz w:val="22"/>
          <w:szCs w:val="22"/>
        </w:rPr>
        <w:t xml:space="preserve">paper/blacklist.csv</w:t>
      </w:r>
      <w:r>
        <w:rPr>
          <w:rFonts w:ascii="Times New Roman" w:cs="Times New Roman" w:eastAsia="Times New Roman" w:hAnsi="Times New Roman"/>
          <w:b w:val="false"/>
          <w:bCs w:val="false"/>
          <w:i w:val="false"/>
          <w:iCs w:val="false"/>
          <w:sz w:val="22"/>
          <w:szCs w:val="22"/>
        </w:rPr>
        <w:t xml:space="preserve">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w:t>
      </w:r>
      <w:r>
        <w:rPr>
          <w:rFonts w:ascii="Consolas" w:cs="Consolas" w:eastAsia="Times New Roman" w:hAnsi="Consolas"/>
          <w:b w:val="false"/>
          <w:bCs w:val="false"/>
          <w:i w:val="false"/>
          <w:iCs w:val="false"/>
          <w:sz w:val="22"/>
          <w:szCs w:val="22"/>
        </w:rPr>
        <w:t xml:space="preserve">paper/make_blacklist_csv.py</w:t>
      </w:r>
      <w:r>
        <w:rPr>
          <w:rFonts w:ascii="Times New Roman" w:cs="Times New Roman" w:eastAsia="Times New Roman" w:hAnsi="Times New Roman"/>
          <w:b w:val="false"/>
          <w:bCs w:val="false"/>
          <w:i w:val="false"/>
          <w:iCs w:val="false"/>
          <w:sz w:val="22"/>
          <w:szCs w:val="22"/>
        </w:rPr>
        <w:t xml:space="preserve">,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keepNext/>
        <w:spacing w:after="120" w:before="320"/>
      </w:pPr>
      <w:r>
        <w:rPr>
          <w:rFonts w:ascii="Calibri" w:cs="Calibri" w:eastAsia="Calibri" w:hAnsi="Calibri"/>
          <w:b/>
          <w:bCs/>
          <w:color w:val="1F3864"/>
          <w:sz w:val="28"/>
          <w:szCs w:val="28"/>
        </w:rPr>
        <w:t xml:space="preserve">13. Declaration of competing interest</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declare that they have no known competing financial interests or personal relationships that could have appeared to influence the work reported in this paper. This research did not receive any specific grant from funding agencies in the public, commercial, or not-for-profit sectors.</w:t>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 https://doi.org/10.1109/SPW53761.2021.00009.</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 https://doi.org/10.1109/CNS56114.2022.9947235.</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 https://doi.org/10.1007/978-3-031-31108-6_2.</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pp. 1850–1856, arXiv:2501.07475. https://doi.org/10.1109/TrustCom63139.2024.00255.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 https://doi.org/10.1109/SP.2010.25.</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 https://doi.org/10.5220/0006639801080116.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 https://doi.org/10.5220/0010774000003120.</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pp. 289–298, arXiv:2412.14021. https://doi.org/10.5220/0013131900003899.</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 https://doi.org/10.1109/ACCESS.2024.3472907.</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 https://doi.org/10.1038/s42256-020-00257-z.</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 https://doi.org/10.1007/s10994-024-06534-x.</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 https://doi.org/10.1007/s40860-024-00238-8.</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 https://doi.org/10.1186/s12864-019-6413-7.</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 https://doi.org/10.1016/j.inffus.2021.11.011.</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 Maia, J. Vitorino, I. Praça, Machine unlearning for the XGBoost model with network intrusion datasets, in: Recent Trends and Challenges in Information Systems and Technologies (WorldCIST 2026), vol. 3, Springer, 2026, pp. 150–162, arXiv:2606.19220. https://doi.org/10.1007/978-3-032-32026-1_14.</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