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and what that costs. </w:t>
      </w:r>
      <w:r>
        <w:rPr>
          <w:rFonts w:ascii="Times New Roman" w:cs="Times New Roman" w:eastAsia="Times New Roman" w:hAnsi="Times New Roman"/>
          <w:b w:val="false"/>
          <w:bCs w:val="false"/>
          <w:i w:val="false"/>
          <w:iCs w:val="false"/>
          <w:sz w:val="22"/>
          <w:szCs w:val="22"/>
        </w:rPr>
        <w:t xml:space="preserve">The two accuracies that define τ are measured on the test partition of their respective protocols: each single-feature tree is fitted on the training partition and scored on the test partition, and the permutation importances of Section 6.2 are computed on that same test partition. The blacklist is therefore selected with test-set information, and the benchmark that follows is trained on a feature set that testing helped choose. We state this plainly because it is a departure from the separation the rest of the protocol maintains. Three things bound what it costs. The audit is a diagnostic about the corpus rather than a search over models: it can only remove features, and removing them can only lower the reported scores, so it does not inflate any number in Table 2. The features it removes are selected on a contrast between two protocols, not on the score of any detector, so no detector was tuned against the test partition. And the eight behavioural exclusions sit in a cluster separated from the retained features by 0.047 in τ (Section 9), so the list is not balanced on the edge of test-partition noise. What we cannot claim is that the exact membership of the list is independent of the test partition. The obvious remedy, recomputing τ on the validation partition and freezing the blacklist before the test partition is opened, turns out not to be available, and the reason is instructive enough to state here. We measured it: computed on validation, the rule excludes nothing at all. The single-feature accuracies under the stratified protocol are the same on both partitions, to within 0.0008 on average, as exchangeable partitions of a random split should be. The accuracies under the temporal protocol are not: validation gives a higher figure than test for 53 of the 63 behavioural columns, by 0.075 on average. Dur is the clearest case, identical at 0.921 under the stratified protocol on both partitions and 0.627 against 0.304 under the temporal one. The per-class temporal split places training in the first 60% of each class, validation in the next 20% and test in the last 20%, so validation is adjacent to the training window while test is one step further out. A ratio built to measure decay with temporal distance cannot be estimated on the partition closest to training. The correction a further version of this protocol should make is therefore not to move the audit to validation but to give it a temporally distant partition of its own, nested inside the training window, so that the audit never opens either of the two partitions on which the benchmark is scored.</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is selected with test-set information. </w:t>
      </w:r>
      <w:r>
        <w:rPr>
          <w:rFonts w:ascii="Times New Roman" w:cs="Times New Roman" w:eastAsia="Times New Roman" w:hAnsi="Times New Roman"/>
          <w:b w:val="false"/>
          <w:bCs w:val="false"/>
          <w:i w:val="false"/>
          <w:iCs w:val="false"/>
          <w:sz w:val="22"/>
          <w:szCs w:val="22"/>
        </w:rPr>
        <w:t xml:space="preserve">The transferability scan measures each feature on the test partition of both protocols, and the permutation importances are computed there too (Section 4.3). The blacklist that defines the audited condition is therefore not independent of the partition on which that condition is finally scored. This does not inflate the reported results, since the audit only removes features and removing them can only lower a score, and no detector was selected against the test partition; but the precise membership of the eight-column behavioural list does carry some dependence on that partition, and a study wishing to quote the list as a clean feature-selection result should first give the audit a temporally distant partition of its own. Section 4.3 reports why the obvious alternative fails: computed on the validation partition, which is adjacent to the training window, the rule excludes nothing, because the quantity it measures is decay with temporal distance and validation is too close to training to exhibit it. We report the flaw and the failed remedy rather than the reassurance.</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