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pending validation on further datasets. First, on GeNIS, attribution-based auditing failed to identify the behavioural shortcuts we found: all eight have permutation importance below 10⁻⁴ because they are mutually redundant, and six are numerically identical columns. The failure mode is mechanical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failed to identify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the descriptor's Table 12 (8 283 released versus 10 286 reported). The same discrepancy is present at every interval (32 590 flows at 5 s, 32 051 at 10 s and 30 481 at 30 s), of which the constant 27 733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8 quantifies what the choice costs. We keep τ as the operative rule, so that the blacklist used to train every model in this paper is the one the rule produced, and report τ* as a sensitivity analysis. The denominator is bounded below by 0.389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Pairwise model differences on the shared test partition are tested with McNemar's test under Holm correction, and macro-F1 carries 95% bootstrap confidence intervals over 1 000 resamples.</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failed to identify any of these eight features, whereas our isolated, two-protocol evaluation exposed them. The failure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8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154876"/>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9).</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though we would expect it to be common.</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Whether other CyberRange-produced corpora share that structure is an empirical question we have not tested.</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8). The four axes below are all measured on a stable basis, Table 10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10.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8).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11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11.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8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9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[15];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result in this paper was measured on that one corpus.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failed to identify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comprising the pipeline, the frozen split indices, the feature blacklist, the transferability spectrum under both normalisations, the hyperparameter configurations, the trained models, and the scripts that regenerate every figure and table, is released at https://github.com/bahriala2/GeNIS2025 and archived at </w:t>
      </w:r>
      <w:r>
        <w:rPr>
          <w:rFonts w:ascii="Times New Roman" w:cs="Times New Roman" w:eastAsia="Times New Roman" w:hAnsi="Times New Roman"/>
          <w:b/>
          <w:bCs/>
          <w:i w:val="false"/>
          <w:iCs w:val="false"/>
          <w:color w:val="C00000"/>
          <w:sz w:val="22"/>
          <w:szCs w:val="22"/>
        </w:rPr>
        <w:t xml:space="preserve">[A COMPLETER : archival DOI]</w:t>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11.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