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0.0040 of macro-F1 under the stratified protocol and 0.0263 under the temporal one, the same eightfold ratio between protocols that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