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Network intrusion detection is benchmarked on shared corpora, and the first numbers published on a new corpus tend to become its reference numbers. GeNIS, released in 2025 from an independent CyberRange capture, is at that stage. We audit and benchmark it with eleven supervised detectors and one unsupervised detector, across three feature conditions, two evaluation protocols and five seeds on the primary condition: 154 training runs with paired significance testing. Three findings have methodological implications that may extend beyond this corpus, pending validation on further datasets. First, on GeNIS, attribution-based auditing failed to identify the behavioural shortcuts we found: all eight have permutation importance below 10⁻⁴ because they are mutually redundant, and six are numerically identical columns. The failure mode is mechanical rather than incidental, since perturbing one of several identical columns leaves the information carried by the others intact; our transferability audit, which evaluates each feature in isolation under two protocols, exposed them. Second, on GeNIS, chronological evaluation alone did not neutralise the capture-schedule shortcut created by disjoint attack windows: a timestamp-only classifier still reached 98.6% nine-class accuracy under our per-class temporal protocol, against 99.7% under a random split and a 19.4% majority-class rate, so feature exclusion was required in addition to temporal ordering. Third, the benign-trained autoencoder evaluated here was anti-correlated with volumetric floods, reaching AUROC 0.0000 against PSH-ACK floods, because flood traffic reconstructs more easily than legitimate traffic in this benchmark. For the corpus itself, the nine-class task is saturated under a random split, where eleven model pairs are statistically indistinguishable and the leaderboard is uninterpretable; the ranking becomes meaningful only under temporal evaluation, where the FT-Transformer leads at macro-F1 0.9966 and the gradient-boosted trees that dominate the random split fall to mid-table. We release a twelve-feature blacklist, the full transferability spectrum under two normalisations, frozen splits, calibrated operating points, single-host CPU inference cost for every detector, and the trained models, so that subsequent work on GeNIS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failed to identify the redundant shortcut features it reveals: the eight behavioural shortcuts it finds all have permutation importance below 10⁻⁴, and six of them are numerically identical columns in the released files. We publish the resulting twelve-feature blacklist and the full transferability spectrum under two normalisations.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and Sections 7–8 discuss their scope and limits.</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Meanwhile, the most-cited benchmark on that corpus [10],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[11]. Its authors' companion study [6] validates binary and multiclass classification with five feature-selection methods over tree ensembles and deep networks, and stands as the official baseline this paper is anchored to.</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[12], and security is a domain where the stakes of the confusion are highest. Arp et al. catalogue the recurring pitfalls of security ML (sampling bias, spurious correlations, data snooping) and find them endemic in published work [13]. Two lines are directly upstream of ours. TESSERACT demonstrated that ignoring temporal structure inflates malware-classification results, and argued for chronologically consistent splits as a validity requirement rather than a robustness extra [14].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[15].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[16], and a detector whose confidence is dishonest cannot drive thresholded automation; temperature scaling [16] and selective classification with a reject option [17, 18] are the standard correctives, and uncertainty quantification is increasingly argued to be a first-class requirement for trustworthy NIDS [19]. Class imbalance interacts with all of this: under the natural distribution of GeNIS (7.4% benign traffic at the 60-second interval), accuracy is close to vacuous and metrics such as macro-F1 and the Matthews correlation coefficient are the informative ones [20]. Finally, the tabular-learning literature gives strong prior reason to include tree ensembles alongside deep detectors: gradient-boosted trees remain consistently competitive or superior on tabular data [21, 22], with attention-based architectures such as the FT-Transformer as the strongest deep contenders [23]. Inference cost is one dimension the GeNIS baseline already reports [6]; calibration, selective operating points, and confidence-bearing comparison are not, and this paper adds them to the same protocol.</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[24],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reaches 0.9947 with a macro-F1 of 0.9102, from 76 distinct values. Silva et al. exclude those columns from their experiments, so their reported results are unaffected; the observation concerns the module as distributed, which a subsequent study may load directly. Our artefact releases the two inspection scripts that produce these numbers.</w:t>
      </w:r>
    </w:p>
    <w:p>
      <w:pPr>
        <w:keepNext/>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[10]</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[15]</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[19]</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[25]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1 gives the class distribution of that task.</w:t>
      </w:r>
    </w:p>
    <w:p>
      <w:pPr>
        <w:keepNext/>
        <w:spacing w:after="80" w:before="200"/>
        <w:jc w:val="center"/>
      </w:pPr>
      <w:r>
        <w:drawing>
          <wp:inline distT="0" distB="0" distL="0" distR="0">
            <wp:extent cx="5267325"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67325" cy="34290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 </w:t>
      </w:r>
      <w:r>
        <w:rPr>
          <w:rFonts w:ascii="Calibri" w:cs="Calibri" w:eastAsia="Calibri" w:hAnsi="Calibri"/>
          <w:b w:val="false"/>
          <w:bCs w:val="false"/>
          <w:i w:val="false"/>
          <w:iCs w:val="false"/>
          <w:sz w:val="18"/>
          <w:szCs w:val="18"/>
        </w:rPr>
        <w:t xml:space="preserve">Natural class distribution of the 60-second slice, preserved end to end by our protocol.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5 029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the descriptor's Table 12 (8 283 released versus 10 286 reported). The same discrepancy is present at every interval (32 590 flows at 5 s, 32 051 at 10 s and 30 481 at 30 s), of which the constant 27 733 reconnaissance flows are the larger part. Table 4 reports our recounts. All figures in this paper come from the released files, and we state the released counts rather than the documented ones wherever the two disagree.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2).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wp:inline distT="0" distB="0" distL="0" distR="0">
            <wp:extent cx="6124575"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23812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This is the strictest temporal evaluation the corpus supports without emptying classes, and we verify the ordering invariant explicitly.</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8 quantifies what the choice costs. We keep τ as the operative rule, so that the blacklist used to train every model in this paper is the one the rule produced, and report τ* as a sensitivity analysis. The denominator is bounded below by 0.389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6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Pairwise model differences on the shared test partition are tested with McNemar's test under Holm correction, and macro-F1 carries 95% bootstrap confidence intervals over 1 000 resamples.</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5 029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the strongest current deep architecture for tabular data [23].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[10]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task is essentially solved: XGBoost and LightGBM reach macro-F1 1.0000 ± 0.0000 across five seeds, random forest and the FT-Transformer 0.9999, and nine of the eleven detectors exceed 0.99. McNemar tests with Holm correction confirm what the point estimates suggest (Figure 7):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9)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0.5492 with a 61.4% false-positive rate (3 089 of 5 029 benign flows misclassified), confirming that the near-perfect scores are a property of the corpus and the strong models, not of the metric. Figure 3 shows where the residual difficulty sits: for every strong detector the per-class F1 is above 0.99 on all nine classes, and naive Bayes is the only model with a class-level failure, collapsing on the benign class itself.</w:t>
      </w:r>
    </w:p>
    <w:p>
      <w:pPr>
        <w:keepNext/>
        <w:spacing w:after="80" w:before="200"/>
        <w:jc w:val="center"/>
      </w:pPr>
      <w:r>
        <w:drawing>
          <wp:inline distT="0" distB="0" distL="0" distR="0">
            <wp:extent cx="6124575"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3337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only naive Bayes fails, and it fails on benign traffic.</w:t>
      </w:r>
    </w:p>
    <w:p>
      <w:pPr>
        <w:keepNext/>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0.9897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0.9775</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0.0994</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 ± 0.0004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0.1392</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 ± 0.0031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0.1590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0.0795</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0.9974</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0.0596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 ± 0.0189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0.7160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0.6667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61.4314</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4):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result we did not anticipate is that the per-class temporal protocol barely reduces the shortcut: the same timestamp probe still reaches 0.9862. The reason is structural. Because each class occupies narrow, mutually disjoint windows (Figure 2),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[14] may be necessary but not sufficient. Excluding the offending features is what does the work here, which is what makes the blacklist an artefact rather than a formality.</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4 plots the two quantities against each other.</w:t>
      </w:r>
    </w:p>
    <w:p>
      <w:pPr>
        <w:keepNext/>
        <w:spacing w:after="80" w:before="200"/>
        <w:jc w:val="center"/>
      </w:pPr>
      <w:r>
        <w:drawing>
          <wp:inline distT="0" distB="0" distL="0" distR="0">
            <wp:extent cx="5267325"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67325" cy="41529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4.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is far less predictive on its own.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failed to identify any of these eight features, whereas our isolated, two-protocol evaluation exposed them. The failure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[26, 27].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5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6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0.05,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5, so the chance-corrected ratio formalises the same uncertain boundary that the raw ratio made visible without being able to place it. Applying τ* &lt; 0.5 is equivalent, on this corpus, to raising the raw threshold to approximately 0.61. We report this rather than choose the reading that flatters the rule.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8 states what this does and does not put at risk.</w:t>
      </w:r>
    </w:p>
    <w:p>
      <w:pPr>
        <w:keepNext/>
        <w:spacing w:after="80" w:before="200"/>
        <w:jc w:val="center"/>
      </w:pPr>
      <w:r>
        <w:drawing>
          <wp:inline distT="0" distB="0" distL="0" distR="0">
            <wp:extent cx="459105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91050" cy="36576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8).</w:t>
      </w:r>
    </w:p>
    <w:p>
      <w:pPr>
        <w:keepNext/>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12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4.2.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bl>
    <w:p>
      <w:pPr>
        <w:spacing w:after="240"/>
      </w:pPr>
      <w:r>
        <w:rPr>
          <w:sz w:val="4"/>
          <w:szCs w:val="4"/>
        </w:rPr>
        <w:t xml:space="preserve"/>
      </w:r>
    </w:p>
    <w:p>
      <w:pPr>
        <w:keepNext/>
        <w:spacing w:after="80" w:before="200"/>
        <w:jc w:val="center"/>
      </w:pPr>
      <w:r>
        <w:drawing>
          <wp:inline distT="0" distB="0" distL="0" distR="0">
            <wp:extent cx="6124575" cy="315487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3154876"/>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9).</w:t>
      </w:r>
    </w:p>
    <w:p>
      <w:pPr>
        <w:keepNext/>
        <w:spacing w:after="80" w:before="200"/>
        <w:jc w:val="center"/>
      </w:pPr>
      <w:r>
        <w:drawing>
          <wp:inline distT="0" distB="0" distL="0" distR="0">
            <wp:extent cx="4410075" cy="490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10075" cy="4905375"/>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9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blacklisted features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8). The FT-Transformer leads at 0.9966, followed by the CNN (0.9949) and logistic regression (0.9944); LightGBM and XGBoost fall to 0.9897 and 0.9888, and random forest and the DNN to 0.9775 and 0.9730. The gradient-boosted models that were unbeatable under a random split fell to mid-table under the per-class temporal protocol on GeNIS, and a linear model outranked them. Because the stratified top group is statistically indistinguishable (Section 6.1), the temporal column is the only part of Table 2 that supports a ranking at all.</w:t>
      </w:r>
    </w:p>
    <w:p>
      <w:pPr>
        <w:keepNext/>
        <w:spacing w:after="80" w:before="200"/>
        <w:jc w:val="center"/>
      </w:pPr>
      <w:r>
        <w:drawing>
          <wp:inline distT="0" distB="0" distL="0" distR="0">
            <wp:extent cx="61245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26098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3-point band that a 0–1 axis would hide. Panel (b) shows the weak baselines at true scale.</w:t>
      </w:r>
    </w:p>
    <w:p>
      <w:pPr>
        <w:keepNext/>
        <w:spacing w:after="80" w:before="200"/>
        <w:jc w:val="center"/>
      </w:pPr>
      <w:r>
        <w:drawing>
          <wp:inline distT="0" distB="0" distL="0" distR="0">
            <wp:extent cx="478155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81550" cy="27813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7).</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4).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5 gives the effect on detection. The boosted trees are essentially interval-invariant: XGBoost holds 1.0000 at 5, 10 and 60 s and 0.9999 at 30 s, and LightGBM holds ≥ 0.9999 except at 10 s, where one seed of three collapses (0.9458 ± 0.0766): its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F1 falls to 0.056 on that seed while the other two stay at 0.999 and 1.000, and it is that single failure that pulls the three-seed mean for the family down to 0.685. The DNN, by contrast, collapses as the window shrinks: 0.9968 at 60 s, 0.8478 at 30 s, 0.5120 at 10 s and 0.5291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10 resolves this by family. Detectability is uniformly high for the five denial-of-service families at every interval; the cost of shortening the window falls almost entirely on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whose F1 drops to 0.685 at 10 s. Brute-force traffic is low-rate and bursty, so shorter windows fragment the very pattern that distinguishes it, whereas floods remain volumetrically obvious at any aggregation.</w:t>
      </w:r>
    </w:p>
    <w:p>
      <w:pPr>
        <w:keepNext/>
        <w:spacing w:after="80" w:before="200"/>
        <w:jc w:val="center"/>
      </w:pPr>
      <w:r>
        <w:drawing>
          <wp:inline distT="0" distB="0" distL="0" distR="0">
            <wp:extent cx="4162425"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62425" cy="29146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Per-class F1 across aggregation intervals (LightGBM, audited). Only the low-rate brute-force families are sensitive to the window length.</w:t>
      </w:r>
    </w:p>
    <w:p>
      <w:pPr>
        <w:keepNext/>
        <w:spacing w:after="100" w:before="240"/>
        <w:jc w:val="both"/>
      </w:pPr>
      <w:r>
        <w:rPr>
          <w:rFonts w:ascii="Calibri" w:cs="Calibri" w:eastAsia="Calibri" w:hAnsi="Calibri"/>
          <w:b/>
          <w:bCs/>
          <w:sz w:val="18"/>
          <w:szCs w:val="18"/>
        </w:rPr>
        <w:t xml:space="preserve">Table 4.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Macro-F1 by aggregation interval, audited condition, with the standard deviation following the ± sign (three seeds at 5/10/30 s, five at 60 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521"/>
        <w:gridCol w:w="1766"/>
        <w:gridCol w:w="2117"/>
        <w:gridCol w:w="2117"/>
        <w:gridCol w:w="2117"/>
      </w:tblGrid>
      <w:tr>
        <w:trPr>
          <w:tblHeader/>
        </w:trPr>
        <w:tc>
          <w:tcPr>
            <w:tcW w:type="dxa" w:w="152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7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LightGBM</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XGBoost</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DNN</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0.5291 ± 0.0194</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0.9458 ± 0.0766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0.5120 ± 0.0021</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0.8478 ± 0.0034</w:t>
            </w:r>
          </w:p>
        </w:tc>
      </w:tr>
      <w:tr>
        <w:trPr>
          <w:tblHeader w:val="false"/>
        </w:trPr>
        <w:tc>
          <w:tcPr>
            <w:tcW w:type="dxa" w:w="152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7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near-perfect on the stratified GeNIS benchmark,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6 reports both. Expected calibration error is at most 0.0009 for every model except naive Bayes, and for those models temperature scaling moves it by less than 0.001 in either direction. Naive Bayes is the exception in both respects: it starts at 0.1880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(0.2435),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for the tree ensembles are far below one (0.05–0.09), the signature of near-deterministic posteriors rather than of miscalibration.</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keepNext/>
        <w:spacing w:after="100" w:before="240"/>
        <w:jc w:val="both"/>
      </w:pPr>
      <w:r>
        <w:rPr>
          <w:rFonts w:ascii="Calibri" w:cs="Calibri" w:eastAsia="Calibri" w:hAnsi="Calibri"/>
          <w:b/>
          <w:bCs/>
          <w:sz w:val="18"/>
          <w:szCs w:val="18"/>
        </w:rPr>
        <w:t xml:space="preserve">Table 6.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Trials: random-search trials actually completed under the 900 s cap.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1.132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2.835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5.821</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0.1880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0.2435</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7, Figure 11) explains why and is more interesting than the headline.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Whether the same polarity failure appears for other reconstruction-based detectors, or on floods captured elsewhere, is a question this single corpus cannot settle.</w:t>
      </w:r>
    </w:p>
    <w:p>
      <w:pPr>
        <w:keepNext/>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wp:inline distT="0" distB="0" distL="0" distR="0">
            <wp:extent cx="489585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895850" cy="24955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8 and Figure 12 give single-host CPU measurements, all detectors being measured within one session under each library's default threading. XGBoost delivers the joint-best macro-F1 at 46 317 flows/s with a 1.12 ms median latency and a 2.13 MB model, seven times faster than LightGBM (6 281 flows/s) at identical accuracy, and a hundred times faster than the FT-Transformer (430 flows/s), which leads only under the temporal protocol. Random forest pays 55 ms of median latency for accuracy it does not win, and k-NN is the worst of both worlds (1 875 flows/s, 11.4 MB). Logistic regression, at 1.14 M flows/s and 0.9990 macro-F1, is the natural choice when throughput dominates. One caveat governs how the latency column may be read. The four Keras models return median latencies within 4.5% of each other (77.4 to 80.9 ms) although their batched throughput differs by a factor of twelve, so that column is dominated by a fixed per-call overhead of the prediction API and is not comparable with the scikit-learn column, whose call overhead is 0.03 ms. The throughput column, measured at batch size 512, amortises that overhead and is the one on which we base the comparison.</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joint-best accuracy, highest throughput among the accurate models, smallest latency tail among the tree ensembles. Where the deployment must survive drift in attack timing, the FT-Transformer's temporal-protocol margin (0.9966 versus 0.9888) is worth its 100× cost only if the certified throughput budget allows it.</w:t>
      </w:r>
    </w:p>
    <w:p>
      <w:pPr>
        <w:keepNext/>
        <w:spacing w:after="100" w:before="240"/>
        <w:jc w:val="both"/>
      </w:pPr>
      <w:r>
        <w:rPr>
          <w:rFonts w:ascii="Calibri" w:cs="Calibri" w:eastAsia="Calibri" w:hAnsi="Calibri"/>
          <w:b/>
          <w:bCs/>
          <w:sz w:val="18"/>
          <w:szCs w:val="18"/>
        </w:rPr>
        <w:t xml:space="preserve">Table 8.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wp:inline distT="0" distB="0" distL="0" distR="0">
            <wp:extent cx="4410075" cy="312105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10075" cy="3121051"/>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Throughput spans three orders of magnitude, and no detector occupies the top-right corner: the FT-Transformer buys the best quality at the worst throughput, logistic regression is within 0.0022 of it at 2 600 times the throughput, and the DNN is dominated on both axes.</w:t>
      </w:r>
    </w:p>
    <w:p>
      <w:pPr>
        <w:pStyle w:val="Heading1"/>
        <w:keepNext/>
        <w:spacing w:after="120" w:before="320"/>
      </w:pPr>
      <w:r>
        <w:rPr>
          <w:rFonts w:ascii="Calibri" w:cs="Calibri" w:eastAsia="Calibri" w:hAnsi="Calibri"/>
          <w:b/>
          <w:bCs/>
          <w:color w:val="1F3864"/>
          <w:sz w:val="28"/>
          <w:szCs w:val="28"/>
        </w:rPr>
        <w:t xml:space="preserve">7.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[26, 27]; what we cannot establish from one corpus is how often exporters emit several statistics of the same underlying quantity, though we would expect it to be common.</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Whether other CyberRange-produced corpora share that structure is an empirical question we have not tested.</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8). The four axes below are all measured on a stable basis, Table 10 collects them and Figure 13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0.9966, but it processes 430 flows per second, a hundred times fewer than XGBoost. XGBoost is mid-table on quality at 0.9888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 is the result we did not expect.</w:t>
      </w:r>
      <w:r>
        <w:t xml:space="preserve"> It reaches 0.9944 under the temporal protocol, third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stays at macro-F1 1.0000 with a zero false-positive rate at 5, 10, 30 and 60 seconds. The DNN is not: it falls from 0.9981 at 60 s to 0.85 at 30 s and to roughly 0.51 at 10 and 5 s, with false-positive rates of 34 and 39% at the two shortest intervals. Combined with its last place under the temporal protocol (0.9730), the DNN is the one detector in this benchmark we would not deploy. We also record an instability on the other side: at the 10-second interval one LightGBM seed out of three collapsed to 0.8374 with a 7.71% false-positive rate while the other two stayed near 1.0000.</w:t>
      </w:r>
    </w:p>
    <w:p>
      <w:pPr>
        <w:spacing w:after="120" w:line="276" w:lineRule="auto"/>
        <w:jc w:val="both"/>
      </w:pPr>
      <w:r>
        <w:rPr>
          <w:b/>
          <w:bCs/>
        </w:rPr>
        <w:t xml:space="preserve">Sharp posteriors are a liability wherever confidence is consumed.</w:t>
      </w:r>
      <w:r>
        <w:t xml:space="preserve"> Expected calibration error is at most 0.0009 for every model except naive Bayes, so calibration in the usual sense is not the discriminating criterion.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0.4994. One limit applies to all of this: the temporal protocol yields a single deterministic partition, so the temporal column carries no variance estimate and small gaps in it should not be over-read.</w:t>
      </w:r>
    </w:p>
    <w:p>
      <w:pPr>
        <w:spacing w:after="120" w:line="276" w:lineRule="auto"/>
        <w:jc w:val="both"/>
      </w:pPr>
      <w:r>
        <w:rPr>
          <w:rFonts w:ascii="Calibri" w:eastAsia="Calibri" w:hAnsi="Calibri" w:cs="Calibri"/>
          <w:b/>
          <w:bCs/>
          <w:sz w:val="18"/>
          <w:szCs w:val="18"/>
        </w:rPr>
        <w:t xml:space="preserve">Table 10.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8). Interval robustness was measured for the three detectors carried through the multi-interval study; a fitted temperature far below one indicates near-deterministic posteriors rather than miscalibration.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430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3 134</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1.13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1 139 252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3 803</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0.94</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0.9897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6 281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46 317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1.0000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1 875</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0.9775</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7 738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5 269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0.4994</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228 377</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5.82</w:t>
            </w:r>
          </w:p>
        </w:tc>
      </w:tr>
    </w:tbl>
    <w:p>
      <w:pPr>
        <w:spacing w:after="120"/>
      </w:pPr>
    </w:p>
    <w:p>
      <w:pPr>
        <w:keepNext/>
        <w:spacing w:after="80" w:before="200"/>
        <w:jc w:val="center"/>
      </w:pPr>
      <w:r>
        <w:drawing>
          <wp:inline distT="0" distB="0" distL="0" distR="0">
            <wp:extent cx="5267325" cy="3973111"/>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267325" cy="3973111"/>
                    </a:xfrm>
                    <a:prstGeom prst="rect">
                      <a:avLst/>
                    </a:prstGeom>
                  </pic:spPr>
                </pic:pic>
              </a:graphicData>
            </a:graphic>
          </wp:inline>
        </w:drawing>
      </w:r>
    </w:p>
    <w:p>
      <w:pPr>
        <w:spacing w:after="120" w:line="276" w:lineRule="auto"/>
        <w:jc w:val="both"/>
      </w:pPr>
      <w:r>
        <w:rPr>
          <w:rFonts w:ascii="Calibri" w:eastAsia="Calibri" w:hAnsi="Calibri" w:cs="Calibri"/>
          <w:b/>
          <w:bCs/>
          <w:sz w:val="18"/>
          <w:szCs w:val="18"/>
        </w:rPr>
        <w:t xml:space="preserve">Figure 13. </w:t>
      </w:r>
      <w:r>
        <w:rPr>
          <w:rFonts w:ascii="Calibri" w:eastAsia="Calibri" w:hAnsi="Calibri" w:cs="Calibri"/>
          <w:sz w:val="18"/>
          <w:szCs w:val="18"/>
        </w:rPr>
        <w:t xml:space="preserve">Per-class F1 under the temporal protocol, audited condition, for the nine detectors above macro-F1 0.97, ordered by macro-F1. Naive Bayes and the majority baseline are omitted because both fall far below the colour scale, which is clipped at 0.90 since every value shown lies above it. Two classes are free for every detector, dos-udp at 1.000 throughout and dos-icmp within 0.0008; the discrimination lives in the brute-force families and in benign traffic. Each detector loses somewhere different: the DNN on bruteforce-ftp (0.822, the widest gap in the table), the two boosted ensembles on bruteforce-ssh (0.946 and 0.949), random forest on benign (0.939) and dos-hulk (0.933). The same quantities under the stratified protocol are uniformly above 0.988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11 sets the two side by side. It carries no column of reported accuracies: the studies evaluate different corpora, tasks and splits, and aligning their headline numbers would be the practice this paper argues against.</w:t>
      </w:r>
    </w:p>
    <w:p>
      <w:pPr>
        <w:spacing w:after="120" w:line="276" w:lineRule="auto"/>
        <w:jc w:val="both"/>
      </w:pPr>
      <w:r>
        <w:rPr>
          <w:rFonts w:ascii="Calibri" w:eastAsia="Calibri" w:hAnsi="Calibri" w:cs="Calibri"/>
          <w:b/>
          <w:bCs/>
          <w:sz w:val="18"/>
          <w:szCs w:val="18"/>
        </w:rPr>
        <w:t xml:space="preserve">Table 11.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8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[10]</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[15]</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[19]</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corpus;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8. Threats to validity</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9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 0.54]</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[15];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5 029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one protocol only. </w:t>
      </w:r>
      <w:r>
        <w:rPr>
          <w:rFonts w:ascii="Times New Roman" w:cs="Times New Roman" w:eastAsia="Times New Roman" w:hAnsi="Times New Roman"/>
          <w:b w:val="false"/>
          <w:bCs w:val="false"/>
          <w:i w:val="false"/>
          <w:iCs w:val="false"/>
          <w:sz w:val="22"/>
          <w:szCs w:val="22"/>
        </w:rPr>
        <w:t xml:space="preserve">Expected calibration error is computed on the stratified seed-1 partition. Since that partition is saturated, the finding that calibration had little left to repair may not extend to the temporal protocol, where accuracy is lower and confidences may be less reliable. Measuring calibration under temporal evaluation is the natural next step.</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result in this paper was measured on that one corpus.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9.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failed to identify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We publish a twelve-feature blacklist together with the full transferability spectrum under both normalisations, from which a stricter seventeen-feature blacklist can be derived, as well as the frozen splits, the calibrated operating points,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10.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w:t>
      </w:r>
    </w:p>
    <w:p>
      <w:pPr>
        <w:pStyle w:val="Heading1"/>
        <w:keepNext/>
        <w:spacing w:after="120" w:before="320"/>
      </w:pPr>
      <w:r>
        <w:rPr>
          <w:rFonts w:ascii="Calibri" w:cs="Calibri" w:eastAsia="Calibri" w:hAnsi="Calibri"/>
          <w:b/>
          <w:bCs/>
          <w:color w:val="1F3864"/>
          <w:sz w:val="28"/>
          <w:szCs w:val="28"/>
        </w:rPr>
        <w:t xml:space="preserve">11.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[11]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[12]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[13]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[14]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[15]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[16]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[17]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[18]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[19]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[20]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[21]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[22]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[23]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[24]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[25]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[26]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[27] G. Hooker, L. Mentch, S. Zhou, Unrestricted permutation forces extrapolation: variable importance requires at least one more model, or there is no free variable importance, Statistics and Computing 31 (82) (2021). https://doi.org/10.1007/s11222-021-10057-z.</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