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the bottom third. Calibration behaves likewise: near-perfect under a random split, it degrades for nine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as experiments/verify_4preprocessed.py.</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experiments/e4a/verify_nested_blacklist.py.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6.8 it is 1.02, so single-feature accuracy is not lower under the temporal protocol but marginally higher; and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9):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to the bottom third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everywhere except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at most 0.01%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is invariant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and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those models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temperatures fitted here differ slightly, because the grid searched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k-NN is the worst of both worlds, paying 621 flows/s, 25.8 ms and 11.4 MB for a temporal macro-F1 of 0.9574, eighth of nine. One caveat governs how the latency column may be read. The four Keras models return median latencies within 4% of each other (76.8 to 80.1 ms) although their batched throughput differs by a factor of 95, so that column is dominated by a fixed per-call overhead of the prediction API and is not comparable with the scikit-learn column. The throughput column does amortise that overhead: it is one call over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Latency, throughput and macro-F1 are measured on the audited condition as corrected in Section 9, over 54 columns, in a single session with the Keras models pinned to the CPU.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2 600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every detector at five rolling origins,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audited condition. The vertical axis is broken: eight detectors live inside a 0.03 band and the two boosted ensembles leave it.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sits in the bottom third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It is ahead of XGBoost on four of the five axes we measure for both — batched throughput, median latency, tail latency and temporal macro-F1 — and behind on one, stratified macro-F1, which is the axis this paper spends its length arguing is not interpretable on this corpus. XGBoost where the aggregation interval is outside the deployer's control: it is the only detector shown to hold macro-F1 at or above 0.9999 at 5, 10, 30 and 60 s, and it is unchanged to four decimals by tuning. That is not a comparison with logistic regression, which the interval study does not cover, and stating it as one would be the error this paper documents elsewhere.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k-nearest neighbours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six exclusions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and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the bottom third.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correction of Section 9 is a third addition and it does retrain: the capture-file test that identifies the offending column is under experiments/e7, and the campaign that repeats the audited condition without it — 180 runs over fifteen configurations, both protocols and five seeds, together with the re-measured inference cost and the paired tests of Figures 9 and 11 — is under experiments/e8, again with its notebook under colab/. Tables 2, 7, 8, 10 and 13 and Figures 5, 9, 10, 11, 14 and 18 are computed from that campaign by the scripts under paper/, each of which asserts the counts it reproduces.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