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 Farah Jemili, Mohamed Mosbah</w:t>
      </w:r>
    </w:p>
    <w:p>
      <w:pPr>
        <w:spacing w:after="320"/>
        <w:jc w:val="center"/>
      </w:pPr>
      <w:r>
        <w:rPr>
          <w:rFonts w:ascii="Times New Roman" w:cs="Times New Roman" w:eastAsia="Times New Roman" w:hAnsi="Times New Roman"/>
          <w:b w:val="false"/>
          <w:bCs w:val="false"/>
          <w:i w:val="false"/>
          <w:iCs w:val="false"/>
          <w:color w:val="444444"/>
          <w:sz w:val="20"/>
          <w:szCs w:val="20"/>
        </w:rPr>
        <w:t xml:space="preserve">MARS Laboratory, ISITCom, University of Sousse, Tunisia · LaBRI, Bordeaux INP, University of Bordeaux,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10,000-password dictionary. The raw packets (37.7 million) were aggregated into labelled flows by the HERA exporter [5], built on Argus, at four flow intervals (5, 10, 30 and 60 seconds), yielding from 338,820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338,820. The 29,736-flow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(8,283 released versus 10,286 reported). The same discrepancy is present at every interval (32,590 flows at 5 s, 32,051 at 10 s and 30,481 at 30 s), of which the constant 27,733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26281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628198"/>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degrades sharply (0.9458 ± 0.0766, driven by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F1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were structurally simpler than legitimate traffic: a saturating stream of near-identical packets was easy to reconstruct, whereas benign office traffic was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(Section 6.7).</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between 33 and 39 %. Combined with its last place under the temporal protocol (0.9730), the DNN is the one detector in this benchmark we would not deploy. We also record an instability on the other side: at the 10-second interval one LightGBM seed out of three collapsed to 0.8374 with a 7.71 %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34 %</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0.05-wide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comprising the pipeline, the frozen split indices, the feature blacklist, the transferability spectrum under both normalisations, the hyperparameter configurations, the trained models, and the scripts that regenerate every figure and table, is released at https://github.com/bahriala2/GeNIS2025 and archived at </w:t>
      </w:r>
      <w:r>
        <w:rPr>
          <w:rFonts w:ascii="Times New Roman" w:cs="Times New Roman" w:eastAsia="Times New Roman" w:hAnsi="Times New Roman"/>
          <w:b/>
          <w:bCs/>
          <w:i w:val="false"/>
          <w:iCs w:val="false"/>
          <w:color w:val="C00000"/>
          <w:sz w:val="22"/>
          <w:szCs w:val="22"/>
        </w:rPr>
        <w:t xml:space="preserve">[A COMPLETER : archival DOI]</w:t>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