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a campaign of 154 runs with paired significance tests. Three of the findings have methodological implications, and we test each of them by re-running the audit on CICIDS2017. The first is that attribution-based auditing assigned near-zero importance to every behavioural shortcut we found. All eight score below 10⁻⁴, because they are mutually redundant and six of them are numerically identical columns. Isolated two-protocol evaluation exposed them, and CICIDS2017 carries seven such pairs whose fourteen columns include ten that score exactly zero. The second is that chronological evaluation alone did not neutralise the shortcut created by disjoint attack windows. A timestamp-only probe still reached 98.6% nine-class accuracy under a per-class temporal split, against a 19.4% majority rate. On CICIDS2017 it collapses to 10.3%, so the sufficiency of temporal splitting is a corpus property to be measured, not assumed. The third is that the benign-trained autoencoder was anti-correlated with volumetric floods, reaching AUROC 0.0000 against PSH-ACK floods, which reconstruct more easily than benign traffic. For the corpus itself, a random split saturates the task. Eleven model pairs are indistinguishable and the ranking is uninterpretable. Under temporal evaluation the FT-Transformer leads and the boosted trees that dominated fall behind every neural detector and the linear model. Calibration follows the same pattern, near-perfect under a random split and degrading for nine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6.8 it is 1.02, so single-feature accuracy is not lower under the temporal protocol but marginally higher; and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benign flows only;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and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those models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not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k-NN is the worst of both worlds, paying 621 flows/s, 25.8 ms and 11.4 MB for a temporal macro-F1 of 0.9574, eighth of nine. One caveat governs how the latency column may be read. The four Keras models return median latencies within 4% of each other (76.8 to 80.1 ms) although their batched throughput differs by a factor of 95, so that column is dominated by a fixed per-call overhead of the prediction API and is not comparable with the scikit-learn column. The throughput column does amortise that overhead: it is one call over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Latency, throughput and macro-F1 are measured on the audited condition as corrected in Section 9, over 54 columns, in a single session with the Keras models pinned to the CPU.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k-nearest neighbours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and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